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2210" w:tblpY="3278"/>
        <w:tblOverlap w:val="never"/>
        <w:tblW w:w="866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2"/>
        <w:gridCol w:w="1212"/>
        <w:gridCol w:w="1023"/>
        <w:gridCol w:w="666"/>
        <w:gridCol w:w="953"/>
        <w:gridCol w:w="2930"/>
        <w:gridCol w:w="13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8" w:hRule="atLeast"/>
          <w:tblHeader/>
        </w:trPr>
        <w:tc>
          <w:tcPr>
            <w:tcW w:w="542" w:type="dxa"/>
            <w:tcBorders>
              <w:top w:val="single" w:color="auto" w:sz="6" w:space="0"/>
              <w:left w:val="single" w:color="auto" w:sz="6" w:space="0"/>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jc w:val="center"/>
              <w:rPr>
                <w:color w:val="000000"/>
                <w:sz w:val="24"/>
                <w:szCs w:val="24"/>
              </w:rPr>
            </w:pPr>
            <w:r>
              <w:rPr>
                <w:rFonts w:ascii="黑体" w:hAnsi="宋体" w:eastAsia="黑体" w:cs="黑体"/>
                <w:color w:val="000000"/>
                <w:sz w:val="24"/>
                <w:szCs w:val="24"/>
              </w:rPr>
              <w:t>序号</w:t>
            </w:r>
          </w:p>
        </w:tc>
        <w:tc>
          <w:tcPr>
            <w:tcW w:w="1212" w:type="dxa"/>
            <w:tcBorders>
              <w:top w:val="single" w:color="auto" w:sz="6" w:space="0"/>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rFonts w:hint="eastAsia" w:ascii="黑体" w:hAnsi="宋体" w:eastAsia="黑体" w:cs="黑体"/>
                <w:color w:val="000000"/>
                <w:sz w:val="24"/>
                <w:szCs w:val="24"/>
                <w:lang w:eastAsia="zh-CN"/>
              </w:rPr>
            </w:pPr>
            <w:r>
              <w:rPr>
                <w:rFonts w:hint="eastAsia" w:ascii="黑体" w:hAnsi="宋体" w:eastAsia="黑体" w:cs="黑体"/>
                <w:color w:val="000000"/>
                <w:sz w:val="24"/>
                <w:szCs w:val="24"/>
              </w:rPr>
              <w:t>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rPr>
              <w:t>   编号</w:t>
            </w:r>
          </w:p>
        </w:tc>
        <w:tc>
          <w:tcPr>
            <w:tcW w:w="1023" w:type="dxa"/>
            <w:tcBorders>
              <w:top w:val="single" w:color="auto" w:sz="6" w:space="0"/>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rPr>
              <w:t>标准名称</w:t>
            </w:r>
          </w:p>
        </w:tc>
        <w:tc>
          <w:tcPr>
            <w:tcW w:w="666" w:type="dxa"/>
            <w:tcBorders>
              <w:top w:val="single" w:color="auto" w:sz="6" w:space="0"/>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rPr>
              <w:t>制修订</w:t>
            </w:r>
          </w:p>
        </w:tc>
        <w:tc>
          <w:tcPr>
            <w:tcW w:w="953" w:type="dxa"/>
            <w:tcBorders>
              <w:top w:val="single" w:color="auto" w:sz="6" w:space="0"/>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rFonts w:hint="eastAsia" w:ascii="黑体" w:hAnsi="宋体" w:eastAsia="黑体" w:cs="黑体"/>
                <w:color w:val="000000"/>
                <w:sz w:val="24"/>
                <w:szCs w:val="24"/>
                <w:lang w:eastAsia="zh-CN"/>
              </w:rPr>
            </w:pPr>
            <w:r>
              <w:rPr>
                <w:rFonts w:hint="eastAsia" w:ascii="黑体" w:hAnsi="宋体" w:eastAsia="黑体" w:cs="黑体"/>
                <w:color w:val="000000"/>
                <w:sz w:val="24"/>
                <w:szCs w:val="24"/>
              </w:rPr>
              <w:t>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rPr>
              <w:t>  标准</w:t>
            </w:r>
          </w:p>
        </w:tc>
        <w:tc>
          <w:tcPr>
            <w:tcW w:w="2930" w:type="dxa"/>
            <w:tcBorders>
              <w:top w:val="single" w:color="auto" w:sz="6" w:space="0"/>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rPr>
              <w:t>适用范围</w:t>
            </w:r>
          </w:p>
        </w:tc>
        <w:tc>
          <w:tcPr>
            <w:tcW w:w="1341" w:type="dxa"/>
            <w:tcBorders>
              <w:top w:val="single" w:color="auto" w:sz="6" w:space="0"/>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eastAsia" w:ascii="黑体" w:hAnsi="宋体" w:eastAsia="黑体" w:cs="黑体"/>
                <w:color w:val="000000"/>
                <w:sz w:val="24"/>
                <w:szCs w:val="24"/>
              </w:rPr>
              <w:t>实施日期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61" w:hRule="atLeast"/>
        </w:trPr>
        <w:tc>
          <w:tcPr>
            <w:tcW w:w="542" w:type="dxa"/>
            <w:tcBorders>
              <w:top w:val="nil"/>
              <w:left w:val="single" w:color="auto" w:sz="6" w:space="0"/>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color w:val="000000"/>
                <w:sz w:val="24"/>
                <w:szCs w:val="24"/>
              </w:rPr>
              <w:t>1</w:t>
            </w:r>
          </w:p>
        </w:tc>
        <w:tc>
          <w:tcPr>
            <w:tcW w:w="1212"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color w:val="000000"/>
                <w:sz w:val="24"/>
                <w:szCs w:val="24"/>
              </w:rPr>
              <w:t>YY/T 1888-2023</w:t>
            </w:r>
          </w:p>
        </w:tc>
        <w:tc>
          <w:tcPr>
            <w:tcW w:w="1023"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ascii="仿宋_GB2312" w:eastAsia="仿宋_GB2312" w:cs="仿宋_GB2312"/>
                <w:color w:val="000000"/>
                <w:sz w:val="24"/>
                <w:szCs w:val="24"/>
              </w:rPr>
              <w:t>重组人源化胶原蛋白</w:t>
            </w:r>
          </w:p>
        </w:tc>
        <w:tc>
          <w:tcPr>
            <w:tcW w:w="666"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rFonts w:hint="default" w:ascii="仿宋_GB2312" w:eastAsia="仿宋_GB2312" w:cs="仿宋_GB2312"/>
                <w:color w:val="000000"/>
                <w:sz w:val="24"/>
                <w:szCs w:val="24"/>
              </w:rPr>
              <w:t>制定</w:t>
            </w:r>
          </w:p>
        </w:tc>
        <w:tc>
          <w:tcPr>
            <w:tcW w:w="953"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color w:val="000000"/>
                <w:sz w:val="24"/>
                <w:szCs w:val="24"/>
              </w:rPr>
              <w:t>/</w:t>
            </w:r>
          </w:p>
        </w:tc>
        <w:tc>
          <w:tcPr>
            <w:tcW w:w="2930"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left"/>
              <w:rPr>
                <w:color w:val="000000"/>
                <w:sz w:val="24"/>
                <w:szCs w:val="24"/>
              </w:rPr>
            </w:pPr>
            <w:r>
              <w:rPr>
                <w:rFonts w:hint="default" w:ascii="仿宋_GB2312" w:eastAsia="仿宋_GB2312" w:cs="仿宋_GB2312"/>
                <w:color w:val="000000"/>
                <w:sz w:val="24"/>
                <w:szCs w:val="24"/>
              </w:rPr>
              <w:t>本文件规定了重组人源化胶原蛋白的质量控制、技术要求、试验方法、稳定性、生物学评价以及包装、运输和贮存等。本文件适用于作为医疗器械原材料的不含非人胶原蛋白氨基酸序列的重组人源化胶原蛋白的质量控制。</w:t>
            </w:r>
          </w:p>
        </w:tc>
        <w:tc>
          <w:tcPr>
            <w:tcW w:w="1341"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rPr>
                <w:color w:val="000000"/>
                <w:sz w:val="24"/>
                <w:szCs w:val="24"/>
              </w:rPr>
            </w:pPr>
            <w:r>
              <w:rPr>
                <w:color w:val="000000"/>
                <w:sz w:val="24"/>
                <w:szCs w:val="24"/>
              </w:rPr>
              <w:t>2023</w:t>
            </w:r>
            <w:r>
              <w:rPr>
                <w:rFonts w:hint="default" w:ascii="仿宋_GB2312" w:eastAsia="仿宋_GB2312" w:cs="仿宋_GB2312"/>
                <w:color w:val="000000"/>
                <w:sz w:val="24"/>
                <w:szCs w:val="24"/>
              </w:rPr>
              <w:t>年</w:t>
            </w:r>
            <w:r>
              <w:rPr>
                <w:color w:val="000000"/>
                <w:sz w:val="24"/>
                <w:szCs w:val="24"/>
              </w:rPr>
              <w:t>7</w:t>
            </w:r>
            <w:r>
              <w:rPr>
                <w:rFonts w:hint="default" w:ascii="仿宋_GB2312" w:eastAsia="仿宋_GB2312" w:cs="仿宋_GB2312"/>
                <w:color w:val="000000"/>
                <w:sz w:val="24"/>
                <w:szCs w:val="24"/>
              </w:rPr>
              <w:t>月</w:t>
            </w:r>
            <w:r>
              <w:rPr>
                <w:color w:val="000000"/>
                <w:sz w:val="24"/>
                <w:szCs w:val="24"/>
              </w:rPr>
              <w:t>20</w:t>
            </w:r>
            <w:r>
              <w:rPr>
                <w:rFonts w:hint="default" w:ascii="仿宋_GB2312" w:eastAsia="仿宋_GB2312" w:cs="仿宋_GB2312"/>
                <w:color w:val="000000"/>
                <w:sz w:val="24"/>
                <w:szCs w:val="24"/>
              </w:rPr>
              <w:t>日</w:t>
            </w:r>
          </w:p>
        </w:tc>
      </w:tr>
    </w:tbl>
    <w:p>
      <w:pPr>
        <w:spacing w:line="500" w:lineRule="exact"/>
        <w:ind w:firstLine="482" w:firstLineChars="200"/>
        <w:rPr>
          <w:rFonts w:hint="eastAsia" w:eastAsia="仿宋_GB2312"/>
          <w:b/>
          <w:bCs/>
          <w:sz w:val="24"/>
          <w:lang w:val="en-US" w:eastAsia="zh-CN"/>
        </w:rPr>
      </w:pPr>
      <w:r>
        <w:rPr>
          <w:rFonts w:hint="eastAsia" w:eastAsia="仿宋_GB2312"/>
          <w:b/>
          <w:bCs/>
          <w:sz w:val="24"/>
          <w:lang w:val="en-US" w:eastAsia="zh-CN"/>
        </w:rPr>
        <w:t>附件</w:t>
      </w:r>
    </w:p>
    <w:p>
      <w:pPr>
        <w:spacing w:line="500" w:lineRule="exact"/>
        <w:ind w:firstLine="562" w:firstLineChars="200"/>
        <w:jc w:val="center"/>
        <w:rPr>
          <w:rFonts w:hint="eastAsia" w:eastAsia="仿宋_GB2312"/>
          <w:b/>
          <w:bCs/>
          <w:sz w:val="28"/>
          <w:szCs w:val="28"/>
          <w:lang w:val="en-US" w:eastAsia="zh-CN"/>
        </w:rPr>
      </w:pPr>
      <w:r>
        <w:rPr>
          <w:rFonts w:hint="eastAsia" w:eastAsia="仿宋_GB2312"/>
          <w:b/>
          <w:bCs/>
          <w:sz w:val="28"/>
          <w:szCs w:val="28"/>
          <w:lang w:val="en-US" w:eastAsia="zh-CN"/>
        </w:rPr>
        <w:t>医疗器械行业标准信息表</w:t>
      </w:r>
    </w:p>
    <w:p>
      <w:pPr>
        <w:bidi w:val="0"/>
        <w:jc w:val="left"/>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MTg2NTQ5OWEwM2U0ZDYxODlkNTE2Y2E2MGNhYmMifQ=="/>
  </w:docVars>
  <w:rsids>
    <w:rsidRoot w:val="67DD766B"/>
    <w:rsid w:val="67DD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2023-06-26T02:52:00Z</dcterms:created>
  <dc:creator>落木</dc:creator>
  <cp:lastModifiedBy>落木</cp:lastModifiedBy>
  <dcterms:modified xsi:type="dcterms:W3CDTF">2023-06-26T02:53:25Z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9246D5535B7F43E1A65D71D71E05796F_11</vt:lpwstr>
  </property>
</Properties>
</file>