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b w:val="0"/>
          <w:i w:val="0"/>
          <w:caps w:val="0"/>
          <w:color w:val="auto"/>
          <w:spacing w:val="0"/>
          <w:sz w:val="32"/>
          <w:szCs w:val="32"/>
          <w:shd w:val="clear" w:color="auto" w:fill="FFFFFF"/>
          <w:lang w:val="en-US" w:eastAsia="zh-CN"/>
        </w:rPr>
      </w:pPr>
      <w:bookmarkStart w:id="3" w:name="_GoBack"/>
      <w:bookmarkEnd w:id="3"/>
      <w:r>
        <w:rPr>
          <w:rFonts w:hint="eastAsia" w:ascii="黑体" w:hAnsi="黑体" w:eastAsia="黑体" w:cs="黑体"/>
          <w:b w:val="0"/>
          <w:i w:val="0"/>
          <w:caps w:val="0"/>
          <w:color w:val="auto"/>
          <w:spacing w:val="0"/>
          <w:sz w:val="32"/>
          <w:szCs w:val="32"/>
          <w:shd w:val="clear" w:color="auto" w:fill="FFFFFF"/>
          <w:lang w:val="en-US" w:eastAsia="zh-CN"/>
        </w:rPr>
        <w:t>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9"/>
        <w:rPr>
          <w:rFonts w:hint="eastAsia" w:ascii="黑体" w:hAnsi="黑体" w:eastAsia="黑体" w:cs="黑体"/>
          <w:b w:val="0"/>
          <w:i w:val="0"/>
          <w:caps w:val="0"/>
          <w:color w:val="auto"/>
          <w:spacing w:val="0"/>
          <w:sz w:val="32"/>
          <w:szCs w:val="32"/>
          <w:shd w:val="clear" w:color="auto"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i w:val="0"/>
          <w:caps w:val="0"/>
          <w:color w:val="auto"/>
          <w:spacing w:val="0"/>
          <w:sz w:val="44"/>
          <w:szCs w:val="44"/>
          <w:shd w:val="clear" w:color="auto" w:fill="FFFFFF"/>
        </w:rPr>
      </w:pPr>
      <w:r>
        <w:rPr>
          <w:rFonts w:hint="default" w:ascii="方正小标宋简体" w:hAnsi="方正小标宋简体" w:eastAsia="方正小标宋简体" w:cs="方正小标宋简体"/>
          <w:b w:val="0"/>
          <w:i w:val="0"/>
          <w:caps w:val="0"/>
          <w:color w:val="auto"/>
          <w:spacing w:val="0"/>
          <w:sz w:val="44"/>
          <w:szCs w:val="44"/>
          <w:shd w:val="clear" w:color="auto" w:fill="FFFFFF"/>
          <w:lang w:val="en"/>
        </w:rPr>
        <w:t>湖南</w:t>
      </w:r>
      <w:r>
        <w:rPr>
          <w:rFonts w:hint="eastAsia" w:ascii="方正小标宋简体" w:hAnsi="方正小标宋简体" w:eastAsia="方正小标宋简体" w:cs="方正小标宋简体"/>
          <w:b w:val="0"/>
          <w:i w:val="0"/>
          <w:caps w:val="0"/>
          <w:color w:val="auto"/>
          <w:spacing w:val="0"/>
          <w:sz w:val="44"/>
          <w:szCs w:val="44"/>
          <w:shd w:val="clear" w:color="auto" w:fill="FFFFFF"/>
        </w:rPr>
        <w:t>省第二类医疗器械注册申请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i w:val="0"/>
          <w:caps w:val="0"/>
          <w:color w:val="auto"/>
          <w:spacing w:val="0"/>
          <w:sz w:val="44"/>
          <w:szCs w:val="44"/>
          <w:shd w:val="clear" w:color="auto" w:fill="FFFFFF"/>
        </w:rPr>
      </w:pPr>
      <w:r>
        <w:rPr>
          <w:rFonts w:hint="eastAsia" w:ascii="方正小标宋简体" w:hAnsi="方正小标宋简体" w:eastAsia="方正小标宋简体" w:cs="方正小标宋简体"/>
          <w:b w:val="0"/>
          <w:i w:val="0"/>
          <w:caps w:val="0"/>
          <w:color w:val="auto"/>
          <w:spacing w:val="0"/>
          <w:sz w:val="44"/>
          <w:szCs w:val="44"/>
          <w:shd w:val="clear" w:color="auto" w:fill="FFFFFF"/>
        </w:rPr>
        <w:t>电子申报指南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outlineLvl w:val="9"/>
        <w:rPr>
          <w:rFonts w:hint="eastAsia" w:ascii="方正小标宋简体" w:hAnsi="方正小标宋简体" w:eastAsia="方正小标宋简体" w:cs="方正小标宋简体"/>
          <w:b w:val="0"/>
          <w:i w:val="0"/>
          <w:caps w:val="0"/>
          <w:color w:val="auto"/>
          <w:spacing w:val="0"/>
          <w:sz w:val="32"/>
          <w:szCs w:val="32"/>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color="auto" w:fill="FFFFFF"/>
        </w:rPr>
        <w:t>本指南旨在指导注册申请人通过</w:t>
      </w:r>
      <w:r>
        <w:rPr>
          <w:rFonts w:hint="eastAsia" w:ascii="仿宋_GB2312" w:hAnsi="仿宋_GB2312" w:eastAsia="仿宋_GB2312" w:cs="仿宋_GB2312"/>
          <w:b w:val="0"/>
          <w:i w:val="0"/>
          <w:caps w:val="0"/>
          <w:color w:val="auto"/>
          <w:spacing w:val="0"/>
          <w:sz w:val="32"/>
          <w:szCs w:val="32"/>
          <w:shd w:val="clear" w:color="auto" w:fill="FFFFFF"/>
          <w:lang w:eastAsia="zh-CN"/>
        </w:rPr>
        <w:t>湖南</w:t>
      </w:r>
      <w:r>
        <w:rPr>
          <w:rFonts w:hint="eastAsia" w:ascii="仿宋_GB2312" w:hAnsi="仿宋_GB2312" w:eastAsia="仿宋_GB2312" w:cs="仿宋_GB2312"/>
          <w:b w:val="0"/>
          <w:i w:val="0"/>
          <w:caps w:val="0"/>
          <w:color w:val="auto"/>
          <w:spacing w:val="0"/>
          <w:sz w:val="32"/>
          <w:szCs w:val="32"/>
          <w:shd w:val="clear" w:color="auto" w:fill="FFFFFF"/>
        </w:rPr>
        <w:t>省药品监督管理局组织开发的</w:t>
      </w:r>
      <w:r>
        <w:rPr>
          <w:rFonts w:hint="eastAsia" w:ascii="仿宋_GB2312" w:hAnsi="仿宋_GB2312" w:eastAsia="仿宋_GB2312" w:cs="仿宋_GB2312"/>
          <w:b w:val="0"/>
          <w:i w:val="0"/>
          <w:caps w:val="0"/>
          <w:color w:val="auto"/>
          <w:spacing w:val="0"/>
          <w:sz w:val="32"/>
          <w:szCs w:val="32"/>
          <w:shd w:val="clear" w:color="auto" w:fill="FFFFFF"/>
          <w:lang w:eastAsia="zh-CN"/>
        </w:rPr>
        <w:t>湖南</w:t>
      </w:r>
      <w:r>
        <w:rPr>
          <w:rFonts w:hint="eastAsia" w:ascii="仿宋_GB2312" w:hAnsi="仿宋_GB2312" w:eastAsia="仿宋_GB2312" w:cs="仿宋_GB2312"/>
          <w:b w:val="0"/>
          <w:i w:val="0"/>
          <w:caps w:val="0"/>
          <w:color w:val="auto"/>
          <w:spacing w:val="0"/>
          <w:sz w:val="32"/>
          <w:szCs w:val="32"/>
          <w:shd w:val="clear" w:color="auto" w:fill="FFFFFF"/>
        </w:rPr>
        <w:t>省医疗器械注册</w:t>
      </w:r>
      <w:r>
        <w:rPr>
          <w:rFonts w:hint="eastAsia" w:ascii="仿宋_GB2312" w:hAnsi="仿宋_GB2312" w:eastAsia="仿宋_GB2312" w:cs="仿宋_GB2312"/>
          <w:b w:val="0"/>
          <w:i w:val="0"/>
          <w:caps w:val="0"/>
          <w:color w:val="auto"/>
          <w:spacing w:val="0"/>
          <w:sz w:val="32"/>
          <w:szCs w:val="32"/>
          <w:shd w:val="clear" w:color="auto" w:fill="FFFFFF"/>
          <w:lang w:eastAsia="zh-CN"/>
        </w:rPr>
        <w:t>电子申报子系统</w:t>
      </w:r>
      <w:r>
        <w:rPr>
          <w:rFonts w:hint="eastAsia" w:ascii="仿宋_GB2312" w:hAnsi="仿宋_GB2312" w:eastAsia="仿宋_GB2312" w:cs="仿宋_GB2312"/>
          <w:b w:val="0"/>
          <w:i w:val="0"/>
          <w:caps w:val="0"/>
          <w:color w:val="auto"/>
          <w:spacing w:val="0"/>
          <w:sz w:val="32"/>
          <w:szCs w:val="32"/>
          <w:shd w:val="clear" w:color="auto" w:fill="FFFFFF"/>
        </w:rPr>
        <w:t>（以下简称</w:t>
      </w:r>
      <w:r>
        <w:rPr>
          <w:rFonts w:hint="eastAsia" w:ascii="仿宋_GB2312" w:hAnsi="仿宋_GB2312" w:eastAsia="仿宋_GB2312" w:cs="仿宋_GB2312"/>
          <w:b w:val="0"/>
          <w:i w:val="0"/>
          <w:caps w:val="0"/>
          <w:color w:val="auto"/>
          <w:spacing w:val="0"/>
          <w:sz w:val="32"/>
          <w:szCs w:val="32"/>
          <w:shd w:val="clear" w:color="auto" w:fill="FFFFFF"/>
          <w:lang w:eastAsia="zh-CN"/>
        </w:rPr>
        <w:t>电子申报子系统</w:t>
      </w:r>
      <w:r>
        <w:rPr>
          <w:rFonts w:hint="eastAsia" w:ascii="仿宋_GB2312" w:hAnsi="仿宋_GB2312" w:eastAsia="仿宋_GB2312" w:cs="仿宋_GB2312"/>
          <w:b w:val="0"/>
          <w:i w:val="0"/>
          <w:caps w:val="0"/>
          <w:color w:val="auto"/>
          <w:spacing w:val="0"/>
          <w:sz w:val="32"/>
          <w:szCs w:val="32"/>
          <w:shd w:val="clear" w:color="auto" w:fill="FFFFFF"/>
        </w:rPr>
        <w:t>）进行电子格式申报资料的准备、提交以及电子申请事项的管理，包括医疗器械注册电子申报工作适用范围、系统登录、电子申报资料格式、</w:t>
      </w:r>
      <w:r>
        <w:rPr>
          <w:rFonts w:hint="eastAsia" w:ascii="仿宋_GB2312" w:hAnsi="仿宋_GB2312" w:eastAsia="仿宋_GB2312" w:cs="仿宋_GB2312"/>
          <w:b w:val="0"/>
          <w:i w:val="0"/>
          <w:caps w:val="0"/>
          <w:color w:val="auto"/>
          <w:spacing w:val="0"/>
          <w:sz w:val="32"/>
          <w:szCs w:val="32"/>
          <w:shd w:val="clear" w:color="auto" w:fill="FFFFFF"/>
          <w:lang w:eastAsia="zh-CN"/>
        </w:rPr>
        <w:t>系统</w:t>
      </w:r>
      <w:r>
        <w:rPr>
          <w:rFonts w:hint="eastAsia" w:ascii="仿宋_GB2312" w:hAnsi="仿宋_GB2312" w:eastAsia="仿宋_GB2312" w:cs="仿宋_GB2312"/>
          <w:b w:val="0"/>
          <w:i w:val="0"/>
          <w:caps w:val="0"/>
          <w:color w:val="auto"/>
          <w:spacing w:val="0"/>
          <w:sz w:val="32"/>
          <w:szCs w:val="32"/>
          <w:shd w:val="clear" w:color="auto" w:fill="FFFFFF"/>
        </w:rPr>
        <w:t>操作流程等内容，并以附录形式明确了各类注册相关申报事项电子申报资料的上传目录。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color="auto" w:fill="FFFFFF"/>
        </w:rPr>
        <w:t>本指南文件规定了注册申请人提交电子注册申报资料的一般性要求，请使用人员务必仔细阅读，认真研究，未按照本指南所规定的格式要求制作的电子格式申报资料或未遵从相关的操作程序，可能会导致电子格式申报资料无法在</w:t>
      </w:r>
      <w:r>
        <w:rPr>
          <w:rFonts w:hint="eastAsia" w:ascii="仿宋_GB2312" w:hAnsi="仿宋_GB2312" w:eastAsia="仿宋_GB2312" w:cs="仿宋_GB2312"/>
          <w:b w:val="0"/>
          <w:i w:val="0"/>
          <w:caps w:val="0"/>
          <w:color w:val="auto"/>
          <w:spacing w:val="0"/>
          <w:sz w:val="32"/>
          <w:szCs w:val="32"/>
          <w:shd w:val="clear" w:color="auto" w:fill="FFFFFF"/>
          <w:lang w:eastAsia="zh-CN"/>
        </w:rPr>
        <w:t>电子申报子系统</w:t>
      </w:r>
      <w:r>
        <w:rPr>
          <w:rFonts w:hint="eastAsia" w:ascii="仿宋_GB2312" w:hAnsi="仿宋_GB2312" w:eastAsia="仿宋_GB2312" w:cs="仿宋_GB2312"/>
          <w:b w:val="0"/>
          <w:i w:val="0"/>
          <w:caps w:val="0"/>
          <w:color w:val="auto"/>
          <w:spacing w:val="0"/>
          <w:sz w:val="32"/>
          <w:szCs w:val="32"/>
          <w:shd w:val="clear" w:color="auto" w:fill="FFFFFF"/>
        </w:rPr>
        <w:t>中有效加载、上传或对后续的审评审批工作造成影响。随着相关法规规章调整、有关流程的改变以及信息化系统的不断升级完善，本指南相关内容也将适时进行调整。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eastAsia" w:ascii="黑体" w:hAnsi="黑体" w:eastAsia="黑体" w:cs="黑体"/>
          <w:b w:val="0"/>
          <w:i w:val="0"/>
          <w:color w:val="auto"/>
          <w:sz w:val="32"/>
          <w:szCs w:val="32"/>
        </w:rPr>
      </w:pPr>
      <w:r>
        <w:rPr>
          <w:rFonts w:hint="eastAsia" w:ascii="黑体" w:hAnsi="黑体" w:eastAsia="黑体" w:cs="黑体"/>
          <w:b w:val="0"/>
          <w:i w:val="0"/>
          <w:caps w:val="0"/>
          <w:color w:val="auto"/>
          <w:spacing w:val="0"/>
          <w:sz w:val="32"/>
          <w:szCs w:val="32"/>
          <w:shd w:val="clear" w:color="auto" w:fill="FFFFFF"/>
        </w:rPr>
        <w:t>一、适用范围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outlineLvl w:val="9"/>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color="auto" w:fill="FFFFFF"/>
        </w:rPr>
        <w:t>本指南适用于注册申请人采用</w:t>
      </w:r>
      <w:r>
        <w:rPr>
          <w:rFonts w:hint="eastAsia" w:ascii="仿宋_GB2312" w:hAnsi="仿宋_GB2312" w:eastAsia="仿宋_GB2312" w:cs="仿宋_GB2312"/>
          <w:b w:val="0"/>
          <w:i w:val="0"/>
          <w:caps w:val="0"/>
          <w:color w:val="auto"/>
          <w:spacing w:val="0"/>
          <w:sz w:val="32"/>
          <w:szCs w:val="32"/>
          <w:shd w:val="clear" w:color="auto" w:fill="FFFFFF"/>
          <w:lang w:eastAsia="zh-CN"/>
        </w:rPr>
        <w:t>电子申报子系统</w:t>
      </w:r>
      <w:r>
        <w:rPr>
          <w:rFonts w:hint="eastAsia" w:ascii="仿宋_GB2312" w:hAnsi="仿宋_GB2312" w:eastAsia="仿宋_GB2312" w:cs="仿宋_GB2312"/>
          <w:b w:val="0"/>
          <w:i w:val="0"/>
          <w:caps w:val="0"/>
          <w:color w:val="auto"/>
          <w:spacing w:val="0"/>
          <w:sz w:val="32"/>
          <w:szCs w:val="32"/>
          <w:shd w:val="clear" w:color="auto" w:fill="FFFFFF"/>
        </w:rPr>
        <w:t>在线提交医疗器械注册和备案事项申请、上传电子格式申报资料（含</w:t>
      </w:r>
      <w:r>
        <w:rPr>
          <w:rFonts w:hint="eastAsia" w:ascii="仿宋_GB2312" w:hAnsi="仿宋_GB2312" w:eastAsia="仿宋_GB2312" w:cs="仿宋_GB2312"/>
          <w:b w:val="0"/>
          <w:i w:val="0"/>
          <w:caps w:val="0"/>
          <w:color w:val="auto"/>
          <w:spacing w:val="0"/>
          <w:sz w:val="32"/>
          <w:szCs w:val="32"/>
          <w:shd w:val="clear" w:color="auto" w:fill="FFFFFF"/>
          <w:lang w:eastAsia="zh-CN"/>
        </w:rPr>
        <w:t>补正、</w:t>
      </w:r>
      <w:r>
        <w:rPr>
          <w:rFonts w:hint="eastAsia" w:ascii="仿宋_GB2312" w:hAnsi="仿宋_GB2312" w:eastAsia="仿宋_GB2312" w:cs="仿宋_GB2312"/>
          <w:b w:val="0"/>
          <w:i w:val="0"/>
          <w:caps w:val="0"/>
          <w:color w:val="auto"/>
          <w:spacing w:val="0"/>
          <w:sz w:val="32"/>
          <w:szCs w:val="32"/>
          <w:shd w:val="clear" w:color="auto" w:fill="FFFFFF"/>
        </w:rPr>
        <w:t>补</w:t>
      </w:r>
      <w:r>
        <w:rPr>
          <w:rFonts w:hint="eastAsia" w:ascii="仿宋_GB2312" w:hAnsi="仿宋_GB2312" w:eastAsia="仿宋_GB2312" w:cs="仿宋_GB2312"/>
          <w:b w:val="0"/>
          <w:i w:val="0"/>
          <w:caps w:val="0"/>
          <w:color w:val="auto"/>
          <w:spacing w:val="0"/>
          <w:sz w:val="32"/>
          <w:szCs w:val="32"/>
          <w:shd w:val="clear" w:color="auto" w:fill="FFFFFF"/>
          <w:lang w:eastAsia="zh-CN"/>
        </w:rPr>
        <w:t>充</w:t>
      </w:r>
      <w:r>
        <w:rPr>
          <w:rFonts w:hint="eastAsia" w:ascii="仿宋_GB2312" w:hAnsi="仿宋_GB2312" w:eastAsia="仿宋_GB2312" w:cs="仿宋_GB2312"/>
          <w:b w:val="0"/>
          <w:i w:val="0"/>
          <w:caps w:val="0"/>
          <w:color w:val="auto"/>
          <w:spacing w:val="0"/>
          <w:sz w:val="32"/>
          <w:szCs w:val="32"/>
          <w:shd w:val="clear" w:color="auto" w:fill="FFFFFF"/>
        </w:rPr>
        <w:t>资料）并进行各类申请相关的事务管理。目前，电子申报范围包括第二类医疗器械（体外诊断试剂）产品注册、变更注册、延续注册</w:t>
      </w:r>
      <w:r>
        <w:rPr>
          <w:rFonts w:hint="eastAsia" w:ascii="仿宋_GB2312" w:hAnsi="仿宋_GB2312" w:eastAsia="仿宋_GB2312" w:cs="仿宋_GB2312"/>
          <w:b w:val="0"/>
          <w:i w:val="0"/>
          <w:caps w:val="0"/>
          <w:color w:val="auto"/>
          <w:spacing w:val="0"/>
          <w:sz w:val="32"/>
          <w:szCs w:val="32"/>
          <w:shd w:val="clear" w:color="auto" w:fill="FFFFFF"/>
          <w:lang w:eastAsia="zh-CN"/>
        </w:rPr>
        <w:t>、注册变更备案</w:t>
      </w:r>
      <w:r>
        <w:rPr>
          <w:rFonts w:hint="eastAsia" w:ascii="仿宋_GB2312" w:hAnsi="仿宋_GB2312" w:eastAsia="仿宋_GB2312" w:cs="仿宋_GB2312"/>
          <w:b w:val="0"/>
          <w:i w:val="0"/>
          <w:caps w:val="0"/>
          <w:color w:val="auto"/>
          <w:spacing w:val="0"/>
          <w:sz w:val="32"/>
          <w:szCs w:val="32"/>
          <w:shd w:val="clear" w:color="auto" w:fill="FFFFFF"/>
        </w:rPr>
        <w:t>，后续随着系统的进一步开发范围将会继续扩大。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黑体" w:cs="Times New Roman"/>
          <w:b w:val="0"/>
          <w:i w:val="0"/>
          <w:caps w:val="0"/>
          <w:color w:val="auto"/>
          <w:spacing w:val="0"/>
          <w:sz w:val="32"/>
          <w:szCs w:val="32"/>
          <w:shd w:val="clear" w:color="auto" w:fill="FFFFFF"/>
        </w:rPr>
      </w:pPr>
      <w:r>
        <w:rPr>
          <w:rFonts w:hint="default" w:ascii="Times New Roman" w:hAnsi="Times New Roman" w:eastAsia="黑体" w:cs="Times New Roman"/>
          <w:b w:val="0"/>
          <w:i w:val="0"/>
          <w:caps w:val="0"/>
          <w:color w:val="auto"/>
          <w:spacing w:val="0"/>
          <w:sz w:val="32"/>
          <w:szCs w:val="32"/>
          <w:shd w:val="clear" w:color="auto" w:fill="FFFFFF"/>
        </w:rPr>
        <w:t>二、系统登录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楷体_GB2312" w:cs="Times New Roman"/>
          <w:b w:val="0"/>
          <w:i w:val="0"/>
          <w:caps w:val="0"/>
          <w:color w:val="auto"/>
          <w:spacing w:val="0"/>
          <w:sz w:val="32"/>
          <w:szCs w:val="32"/>
          <w:shd w:val="clear" w:color="auto" w:fill="FFFFFF"/>
        </w:rPr>
        <w:t>（一）系统登录前的准备工作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shd w:val="clear" w:color="auto" w:fill="FFFFFF"/>
        </w:rPr>
      </w:pPr>
      <w:r>
        <w:rPr>
          <w:rFonts w:hint="default" w:ascii="Times New Roman" w:hAnsi="Times New Roman" w:eastAsia="仿宋_GB2312" w:cs="Times New Roman"/>
          <w:b w:val="0"/>
          <w:i w:val="0"/>
          <w:caps w:val="0"/>
          <w:color w:val="auto"/>
          <w:spacing w:val="0"/>
          <w:sz w:val="32"/>
          <w:szCs w:val="32"/>
          <w:shd w:val="clear" w:color="auto" w:fill="FFFFFF"/>
        </w:rPr>
        <w:t>为提高电子申报和信息传输的网络安全等级，进行电子申报资料提交前，需申</w:t>
      </w:r>
      <w:r>
        <w:rPr>
          <w:rFonts w:hint="default" w:ascii="Times New Roman" w:hAnsi="Times New Roman" w:eastAsia="仿宋_GB2312" w:cs="Times New Roman"/>
          <w:b w:val="0"/>
          <w:i w:val="0"/>
          <w:caps w:val="0"/>
          <w:color w:val="auto"/>
          <w:spacing w:val="0"/>
          <w:sz w:val="32"/>
          <w:szCs w:val="32"/>
          <w:shd w:val="clear" w:color="auto" w:fill="FFFFFF"/>
          <w:lang w:eastAsia="zh-CN"/>
        </w:rPr>
        <w:t>请</w:t>
      </w:r>
      <w:r>
        <w:rPr>
          <w:rFonts w:hint="default" w:ascii="Times New Roman" w:hAnsi="Times New Roman" w:eastAsia="仿宋_GB2312" w:cs="Times New Roman"/>
          <w:b w:val="0"/>
          <w:i w:val="0"/>
          <w:caps w:val="0"/>
          <w:color w:val="auto"/>
          <w:spacing w:val="0"/>
          <w:sz w:val="32"/>
          <w:szCs w:val="32"/>
          <w:shd w:val="clear" w:color="auto" w:fill="FFFFFF"/>
        </w:rPr>
        <w:t>法人账号和电子印章（已有法人账号和电子印章的企业可以继续使用，无需重复申请）。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lang w:val="en-US" w:eastAsia="zh-CN"/>
        </w:rPr>
      </w:pPr>
      <w:r>
        <w:rPr>
          <w:rFonts w:hint="default" w:ascii="Times New Roman" w:hAnsi="Times New Roman" w:eastAsia="仿宋_GB2312" w:cs="Times New Roman"/>
          <w:b w:val="0"/>
          <w:i w:val="0"/>
          <w:caps w:val="0"/>
          <w:color w:val="auto"/>
          <w:spacing w:val="0"/>
          <w:sz w:val="32"/>
          <w:szCs w:val="32"/>
          <w:shd w:val="clear" w:color="auto" w:fill="FFFFFF"/>
          <w:lang w:eastAsia="zh-CN"/>
        </w:rPr>
        <w:t>法人账号在湖南省药品监督管理局行政审批系统免费申请。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shd w:val="clear" w:color="auto" w:fill="FFFFFF"/>
          <w:lang w:eastAsia="zh-CN"/>
        </w:rPr>
      </w:pPr>
      <w:r>
        <w:rPr>
          <w:rFonts w:hint="default" w:ascii="Times New Roman" w:hAnsi="Times New Roman" w:eastAsia="仿宋_GB2312" w:cs="Times New Roman"/>
          <w:b w:val="0"/>
          <w:i w:val="0"/>
          <w:caps w:val="0"/>
          <w:color w:val="auto"/>
          <w:spacing w:val="0"/>
          <w:sz w:val="32"/>
          <w:szCs w:val="32"/>
          <w:shd w:val="clear" w:color="auto" w:fill="FFFFFF"/>
        </w:rPr>
        <w:t>电子印章由</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湖南</w:t>
      </w:r>
      <w:r>
        <w:rPr>
          <w:rFonts w:hint="default" w:ascii="Times New Roman" w:hAnsi="Times New Roman" w:eastAsia="仿宋_GB2312" w:cs="Times New Roman"/>
          <w:b w:val="0"/>
          <w:i w:val="0"/>
          <w:caps w:val="0"/>
          <w:color w:val="auto"/>
          <w:spacing w:val="0"/>
          <w:sz w:val="32"/>
          <w:szCs w:val="32"/>
          <w:shd w:val="clear" w:color="auto" w:fill="FFFFFF"/>
        </w:rPr>
        <w:t>省数字</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认证服务中心</w:t>
      </w:r>
      <w:r>
        <w:rPr>
          <w:rFonts w:hint="default" w:ascii="Times New Roman" w:hAnsi="Times New Roman" w:eastAsia="仿宋_GB2312" w:cs="Times New Roman"/>
          <w:b w:val="0"/>
          <w:i w:val="0"/>
          <w:caps w:val="0"/>
          <w:color w:val="auto"/>
          <w:spacing w:val="0"/>
          <w:sz w:val="32"/>
          <w:szCs w:val="32"/>
          <w:shd w:val="clear" w:color="auto" w:fill="FFFFFF"/>
        </w:rPr>
        <w:t>有限公司提供，</w:t>
      </w:r>
      <w:r>
        <w:rPr>
          <w:rFonts w:hint="default" w:ascii="Times New Roman" w:hAnsi="Times New Roman" w:eastAsia="仿宋_GB2312" w:cs="Times New Roman"/>
          <w:b w:val="0"/>
          <w:i w:val="0"/>
          <w:caps w:val="0"/>
          <w:color w:val="auto"/>
          <w:spacing w:val="0"/>
          <w:sz w:val="32"/>
          <w:szCs w:val="32"/>
          <w:shd w:val="clear" w:color="auto" w:fill="FFFFFF"/>
          <w:lang w:eastAsia="zh-CN"/>
        </w:rPr>
        <w:t>具体申请要求、办理地点、联系方式等可登录湖南</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省数字认证服务中心有限公司</w:t>
      </w:r>
      <w:r>
        <w:rPr>
          <w:rFonts w:hint="default" w:ascii="Times New Roman" w:hAnsi="Times New Roman" w:eastAsia="仿宋_GB2312" w:cs="Times New Roman"/>
          <w:b w:val="0"/>
          <w:i w:val="0"/>
          <w:caps w:val="0"/>
          <w:color w:val="auto"/>
          <w:spacing w:val="0"/>
          <w:sz w:val="32"/>
          <w:szCs w:val="32"/>
          <w:shd w:val="clear" w:color="auto" w:fill="FFFFFF"/>
        </w:rPr>
        <w:t>（http://www.hunca.com.cn/）</w:t>
      </w:r>
      <w:r>
        <w:rPr>
          <w:rFonts w:hint="default" w:ascii="Times New Roman" w:hAnsi="Times New Roman" w:eastAsia="仿宋_GB2312" w:cs="Times New Roman"/>
          <w:b w:val="0"/>
          <w:i w:val="0"/>
          <w:caps w:val="0"/>
          <w:color w:val="auto"/>
          <w:spacing w:val="0"/>
          <w:sz w:val="32"/>
          <w:szCs w:val="32"/>
          <w:shd w:val="clear" w:color="auto" w:fill="FFFFFF"/>
          <w:lang w:eastAsia="zh-CN"/>
        </w:rPr>
        <w:t>查询。</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r>
        <w:rPr>
          <w:rFonts w:hint="default" w:ascii="Times New Roman" w:hAnsi="Times New Roman" w:eastAsia="楷体_GB2312" w:cs="Times New Roman"/>
          <w:b w:val="0"/>
          <w:i w:val="0"/>
          <w:caps w:val="0"/>
          <w:color w:val="auto"/>
          <w:spacing w:val="0"/>
          <w:sz w:val="32"/>
          <w:szCs w:val="32"/>
          <w:shd w:val="clear" w:color="auto" w:fill="FFFFFF"/>
        </w:rPr>
        <w:t>（二）系统登录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注册申请人</w:t>
      </w:r>
      <w:r>
        <w:rPr>
          <w:rFonts w:hint="default" w:ascii="Times New Roman" w:hAnsi="Times New Roman" w:eastAsia="仿宋_GB2312" w:cs="Times New Roman"/>
          <w:b w:val="0"/>
          <w:i w:val="0"/>
          <w:caps w:val="0"/>
          <w:color w:val="auto"/>
          <w:spacing w:val="0"/>
          <w:sz w:val="32"/>
          <w:szCs w:val="32"/>
          <w:shd w:val="clear" w:color="auto" w:fill="FFFFFF"/>
          <w:lang w:eastAsia="zh-CN"/>
        </w:rPr>
        <w:t>登录湖南省药品监督管理局行政审批系统</w:t>
      </w:r>
      <w:r>
        <w:rPr>
          <w:rFonts w:hint="default" w:ascii="Times New Roman" w:hAnsi="Times New Roman" w:eastAsia="仿宋_GB2312" w:cs="Times New Roman"/>
          <w:b w:val="0"/>
          <w:i w:val="0"/>
          <w:caps w:val="0"/>
          <w:color w:val="auto"/>
          <w:spacing w:val="0"/>
          <w:sz w:val="32"/>
          <w:szCs w:val="32"/>
          <w:shd w:val="clear" w:color="auto" w:fill="FFFFFF"/>
        </w:rPr>
        <w:t>（http://</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218.76.24.74:8080/</w:t>
      </w:r>
      <w:r>
        <w:rPr>
          <w:rFonts w:hint="default" w:ascii="Times New Roman" w:hAnsi="Times New Roman" w:eastAsia="仿宋_GB2312" w:cs="Times New Roman"/>
          <w:b w:val="0"/>
          <w:i w:val="0"/>
          <w:caps w:val="0"/>
          <w:color w:val="auto"/>
          <w:spacing w:val="0"/>
          <w:sz w:val="32"/>
          <w:szCs w:val="32"/>
          <w:shd w:val="clear" w:color="auto" w:fill="FFFFFF"/>
        </w:rPr>
        <w:t>）</w:t>
      </w:r>
      <w:r>
        <w:rPr>
          <w:rFonts w:hint="default" w:ascii="Times New Roman" w:hAnsi="Times New Roman" w:eastAsia="仿宋_GB2312" w:cs="Times New Roman"/>
          <w:b w:val="0"/>
          <w:i w:val="0"/>
          <w:caps w:val="0"/>
          <w:color w:val="auto"/>
          <w:spacing w:val="0"/>
          <w:sz w:val="32"/>
          <w:szCs w:val="32"/>
          <w:shd w:val="clear" w:color="auto" w:fill="FFFFFF"/>
          <w:lang w:eastAsia="zh-CN"/>
        </w:rPr>
        <w:t>，切换至电子申报子系统</w:t>
      </w:r>
      <w:r>
        <w:rPr>
          <w:rFonts w:hint="default" w:ascii="Times New Roman" w:hAnsi="Times New Roman" w:eastAsia="仿宋_GB2312" w:cs="Times New Roman"/>
          <w:b w:val="0"/>
          <w:i w:val="0"/>
          <w:caps w:val="0"/>
          <w:color w:val="auto"/>
          <w:spacing w:val="0"/>
          <w:sz w:val="32"/>
          <w:szCs w:val="32"/>
          <w:shd w:val="clear" w:color="auto" w:fill="FFFFFF"/>
        </w:rPr>
        <w:t>进行申报资料</w:t>
      </w:r>
      <w:r>
        <w:rPr>
          <w:rFonts w:hint="default" w:ascii="Times New Roman" w:hAnsi="Times New Roman" w:eastAsia="仿宋_GB2312" w:cs="Times New Roman"/>
          <w:b w:val="0"/>
          <w:i w:val="0"/>
          <w:caps w:val="0"/>
          <w:color w:val="auto"/>
          <w:spacing w:val="0"/>
          <w:sz w:val="32"/>
          <w:szCs w:val="32"/>
          <w:shd w:val="clear" w:color="auto" w:fill="FFFFFF"/>
          <w:lang w:eastAsia="zh-CN"/>
        </w:rPr>
        <w:t>提</w:t>
      </w:r>
      <w:r>
        <w:rPr>
          <w:rFonts w:hint="default" w:ascii="Times New Roman" w:hAnsi="Times New Roman" w:eastAsia="仿宋_GB2312" w:cs="Times New Roman"/>
          <w:b w:val="0"/>
          <w:i w:val="0"/>
          <w:caps w:val="0"/>
          <w:color w:val="auto"/>
          <w:spacing w:val="0"/>
          <w:sz w:val="32"/>
          <w:szCs w:val="32"/>
          <w:shd w:val="clear" w:color="auto" w:fill="FFFFFF"/>
        </w:rPr>
        <w:t>交。</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黑体" w:cs="Times New Roman"/>
          <w:b w:val="0"/>
          <w:i w:val="0"/>
          <w:color w:val="auto"/>
          <w:sz w:val="32"/>
          <w:szCs w:val="32"/>
        </w:rPr>
      </w:pPr>
      <w:r>
        <w:rPr>
          <w:rFonts w:hint="default" w:ascii="Times New Roman" w:hAnsi="Times New Roman" w:eastAsia="黑体" w:cs="Times New Roman"/>
          <w:b w:val="0"/>
          <w:i w:val="0"/>
          <w:caps w:val="0"/>
          <w:color w:val="auto"/>
          <w:spacing w:val="0"/>
          <w:sz w:val="32"/>
          <w:szCs w:val="32"/>
          <w:shd w:val="clear" w:color="auto" w:fill="FFFFFF"/>
        </w:rPr>
        <w:t>三、电子申报资料目录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shd w:val="clear" w:color="auto" w:fill="FFFFFF"/>
        </w:rPr>
      </w:pPr>
      <w:r>
        <w:rPr>
          <w:rFonts w:hint="default" w:ascii="Times New Roman" w:hAnsi="Times New Roman" w:eastAsia="仿宋_GB2312" w:cs="Times New Roman"/>
          <w:b w:val="0"/>
          <w:i w:val="0"/>
          <w:caps w:val="0"/>
          <w:color w:val="auto"/>
          <w:spacing w:val="0"/>
          <w:sz w:val="32"/>
          <w:szCs w:val="32"/>
          <w:shd w:val="clear" w:color="auto" w:fill="FFFFFF"/>
          <w:lang w:eastAsia="zh-CN"/>
        </w:rPr>
        <w:t>电子申报子系统</w:t>
      </w:r>
      <w:r>
        <w:rPr>
          <w:rFonts w:hint="default" w:ascii="Times New Roman" w:hAnsi="Times New Roman" w:eastAsia="仿宋_GB2312" w:cs="Times New Roman"/>
          <w:b w:val="0"/>
          <w:i w:val="0"/>
          <w:caps w:val="0"/>
          <w:color w:val="auto"/>
          <w:spacing w:val="0"/>
          <w:sz w:val="32"/>
          <w:szCs w:val="32"/>
          <w:shd w:val="clear" w:color="auto" w:fill="FFFFFF"/>
        </w:rPr>
        <w:t>的电子提交目录采用国家药监局医疗器械注册申请电子申报目录的设置模式（详见国家药监局医疗器械技术审评中心《关于发布医疗器械注册电子申报目录文件夹结构的通告（2021年第15号）》），以植入目录树的形式对电子注册申报资料的上传方式进行设置，明确了对各级目录标题下提交的电子资料的内容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楷体_GB2312" w:cs="Times New Roman"/>
          <w:b w:val="0"/>
          <w:i w:val="0"/>
          <w:caps w:val="0"/>
          <w:color w:val="auto"/>
          <w:spacing w:val="0"/>
          <w:sz w:val="32"/>
          <w:szCs w:val="32"/>
          <w:shd w:val="clear" w:color="auto" w:fill="FFFFFF"/>
        </w:rPr>
        <w:t>（一）目录树的自动生成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仿宋_GB2312" w:cs="Times New Roman"/>
          <w:b w:val="0"/>
          <w:i w:val="0"/>
          <w:caps w:val="0"/>
          <w:color w:val="auto"/>
          <w:spacing w:val="0"/>
          <w:sz w:val="32"/>
          <w:szCs w:val="32"/>
          <w:shd w:val="clear" w:color="auto" w:fill="FFFFFF"/>
          <w:lang w:eastAsia="zh-CN"/>
        </w:rPr>
        <w:t>电子申报子系统</w:t>
      </w:r>
      <w:r>
        <w:rPr>
          <w:rFonts w:hint="default" w:ascii="Times New Roman" w:hAnsi="Times New Roman" w:eastAsia="仿宋_GB2312" w:cs="Times New Roman"/>
          <w:b w:val="0"/>
          <w:i w:val="0"/>
          <w:caps w:val="0"/>
          <w:color w:val="auto"/>
          <w:spacing w:val="0"/>
          <w:sz w:val="32"/>
          <w:szCs w:val="32"/>
          <w:shd w:val="clear" w:color="auto" w:fill="FFFFFF"/>
        </w:rPr>
        <w:t>根据注册申请人选择的注册申报类型自动生成相应的目录树，注册申请人上传电子注册申报资料PDF文件并关联相应的目录树层级。</w:t>
      </w:r>
      <w:r>
        <w:rPr>
          <w:rFonts w:hint="default" w:ascii="Times New Roman" w:hAnsi="Times New Roman" w:eastAsia="仿宋_GB2312" w:cs="Times New Roman"/>
          <w:b w:val="0"/>
          <w:i w:val="0"/>
          <w:caps w:val="0"/>
          <w:color w:val="auto"/>
          <w:spacing w:val="0"/>
          <w:sz w:val="32"/>
          <w:szCs w:val="32"/>
          <w:shd w:val="clear" w:color="auto" w:fill="FFFFFF"/>
          <w:lang w:eastAsia="zh-CN"/>
        </w:rPr>
        <w:t>电子申报子系统</w:t>
      </w:r>
      <w:r>
        <w:rPr>
          <w:rFonts w:hint="default" w:ascii="Times New Roman" w:hAnsi="Times New Roman" w:eastAsia="仿宋_GB2312" w:cs="Times New Roman"/>
          <w:b w:val="0"/>
          <w:i w:val="0"/>
          <w:caps w:val="0"/>
          <w:color w:val="auto"/>
          <w:spacing w:val="0"/>
          <w:sz w:val="32"/>
          <w:szCs w:val="32"/>
          <w:shd w:val="clear" w:color="auto" w:fill="FFFFFF"/>
        </w:rPr>
        <w:t>的目录树</w:t>
      </w:r>
      <w:r>
        <w:rPr>
          <w:rFonts w:hint="default" w:ascii="Times New Roman" w:hAnsi="Times New Roman" w:eastAsia="仿宋_GB2312" w:cs="Times New Roman"/>
          <w:b w:val="0"/>
          <w:i w:val="0"/>
          <w:caps w:val="0"/>
          <w:color w:val="auto"/>
          <w:spacing w:val="0"/>
          <w:sz w:val="32"/>
          <w:szCs w:val="32"/>
          <w:shd w:val="clear" w:color="auto" w:fill="FFFFFF"/>
          <w:lang w:eastAsia="zh-CN"/>
        </w:rPr>
        <w:t>按章节</w:t>
      </w:r>
      <w:r>
        <w:rPr>
          <w:rFonts w:hint="default" w:ascii="Times New Roman" w:hAnsi="Times New Roman" w:eastAsia="仿宋_GB2312" w:cs="Times New Roman"/>
          <w:b w:val="0"/>
          <w:i w:val="0"/>
          <w:caps w:val="0"/>
          <w:color w:val="auto"/>
          <w:spacing w:val="0"/>
          <w:sz w:val="32"/>
          <w:szCs w:val="32"/>
          <w:shd w:val="clear" w:color="auto" w:fill="FFFFFF"/>
        </w:rPr>
        <w:t>分为一级目录（如CH1.1）、二级目录（如CH</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2.3.1</w:t>
      </w:r>
      <w:r>
        <w:rPr>
          <w:rFonts w:hint="default" w:ascii="Times New Roman" w:hAnsi="Times New Roman" w:eastAsia="仿宋_GB2312" w:cs="Times New Roman"/>
          <w:b w:val="0"/>
          <w:i w:val="0"/>
          <w:caps w:val="0"/>
          <w:color w:val="auto"/>
          <w:spacing w:val="0"/>
          <w:sz w:val="32"/>
          <w:szCs w:val="32"/>
          <w:shd w:val="clear" w:color="auto" w:fill="FFFFFF"/>
        </w:rPr>
        <w:t>），各级目录的编码和标题已按照RPS目录和我</w:t>
      </w:r>
      <w:r>
        <w:rPr>
          <w:rFonts w:hint="default" w:ascii="Times New Roman" w:hAnsi="Times New Roman" w:eastAsia="仿宋_GB2312" w:cs="Times New Roman"/>
          <w:b w:val="0"/>
          <w:i w:val="0"/>
          <w:caps w:val="0"/>
          <w:color w:val="auto"/>
          <w:spacing w:val="0"/>
          <w:sz w:val="32"/>
          <w:szCs w:val="32"/>
          <w:shd w:val="clear" w:color="auto" w:fill="FFFFFF"/>
          <w:lang w:eastAsia="zh-CN"/>
        </w:rPr>
        <w:t>省</w:t>
      </w:r>
      <w:r>
        <w:rPr>
          <w:rFonts w:hint="default" w:ascii="Times New Roman" w:hAnsi="Times New Roman" w:eastAsia="仿宋_GB2312" w:cs="Times New Roman"/>
          <w:b w:val="0"/>
          <w:i w:val="0"/>
          <w:caps w:val="0"/>
          <w:color w:val="auto"/>
          <w:spacing w:val="0"/>
          <w:sz w:val="32"/>
          <w:szCs w:val="32"/>
          <w:shd w:val="clear" w:color="auto" w:fill="FFFFFF"/>
        </w:rPr>
        <w:t>注册申报资料要求进行锁定。</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r>
        <w:rPr>
          <w:rFonts w:hint="default" w:ascii="Times New Roman" w:hAnsi="Times New Roman" w:eastAsia="楷体_GB2312" w:cs="Times New Roman"/>
          <w:b w:val="0"/>
          <w:i w:val="0"/>
          <w:caps w:val="0"/>
          <w:color w:val="auto"/>
          <w:spacing w:val="0"/>
          <w:sz w:val="32"/>
          <w:szCs w:val="32"/>
          <w:shd w:val="clear" w:color="auto" w:fill="FFFFFF"/>
        </w:rPr>
        <w:t>（二）目录类型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仿宋_GB2312" w:cs="Times New Roman"/>
          <w:b w:val="0"/>
          <w:i w:val="0"/>
          <w:caps w:val="0"/>
          <w:color w:val="auto"/>
          <w:spacing w:val="0"/>
          <w:sz w:val="32"/>
          <w:szCs w:val="32"/>
          <w:shd w:val="clear" w:color="auto" w:fill="FFFFFF"/>
          <w:lang w:eastAsia="zh-CN"/>
        </w:rPr>
        <w:t>电子申报子系统</w:t>
      </w:r>
      <w:r>
        <w:rPr>
          <w:rFonts w:hint="default" w:ascii="Times New Roman" w:hAnsi="Times New Roman" w:eastAsia="仿宋_GB2312" w:cs="Times New Roman"/>
          <w:b w:val="0"/>
          <w:i w:val="0"/>
          <w:caps w:val="0"/>
          <w:color w:val="auto"/>
          <w:spacing w:val="0"/>
          <w:sz w:val="32"/>
          <w:szCs w:val="32"/>
          <w:shd w:val="clear" w:color="auto" w:fill="FFFFFF"/>
        </w:rPr>
        <w:t>目录分为必须提交（R）、适用时提交（CR）和不需提交（NR）三种情形。R表示该目录为强制上传目录，若此级目录或下级目录下无PDF版资料则无法成功提交申请。CR表示该目录为适用情况下需要提交目录，注册申请人根据注册申报事项以及资料要求判断是否适用，若根据相关法规要求或申报产品特性判断为适用时，CR即表示需提交，若判断为不适用时可不必在此级目录下提交资料。NR表示该目录不需提交PDF文件。经受理审查或技术审评认为需要在某一CR目录下上传PDF资料时，注册申请人应在补充资料阶段进行上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黑体" w:cs="Times New Roman"/>
          <w:b w:val="0"/>
          <w:i w:val="0"/>
          <w:caps w:val="0"/>
          <w:color w:val="auto"/>
          <w:spacing w:val="0"/>
          <w:sz w:val="32"/>
          <w:szCs w:val="32"/>
          <w:shd w:val="clear" w:color="auto" w:fill="FFFFFF"/>
        </w:rPr>
        <w:t>四、电子申报资料格式要求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r>
        <w:rPr>
          <w:rFonts w:hint="default" w:ascii="Times New Roman" w:hAnsi="Times New Roman" w:eastAsia="楷体_GB2312" w:cs="Times New Roman"/>
          <w:b w:val="0"/>
          <w:i w:val="0"/>
          <w:caps w:val="0"/>
          <w:color w:val="auto"/>
          <w:spacing w:val="0"/>
          <w:sz w:val="32"/>
          <w:szCs w:val="32"/>
          <w:shd w:val="clear" w:color="auto" w:fill="FFFFFF"/>
        </w:rPr>
        <w:t>（一）版面要求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为提升在线审评审批效率，本指南建议对于电子注册申报资料的正文版面按如下格式执行：中文字体建议选用宋体，英文字体建议选用Times New Roman。中文正文字号不小于四号字，表格文字不小于五号字。申报资料封面加粗三号字。申报资料目录建议使用四号字，脚注五号字。英文不小于14号字。建议常规使用黑色字体。行间距离建议设为单倍。如页面设置为纵向，则左边距离不小于2.5cm、上边距离不小于2cm、其他边距不小于1cm；如页面设置为横向，上边距离不小于2.5cm、右边距离不小于2cm、其他边距不小于1cm。左边边距应适宜装订。页眉和页脚信息应在上述页边距内显示，保证文本在打印或装订中不丢失信息。</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r>
        <w:rPr>
          <w:rFonts w:hint="default" w:ascii="Times New Roman" w:hAnsi="Times New Roman" w:eastAsia="楷体_GB2312" w:cs="Times New Roman"/>
          <w:b w:val="0"/>
          <w:i w:val="0"/>
          <w:caps w:val="0"/>
          <w:color w:val="auto"/>
          <w:spacing w:val="0"/>
          <w:sz w:val="32"/>
          <w:szCs w:val="32"/>
          <w:shd w:val="clear" w:color="auto" w:fill="FFFFFF"/>
        </w:rPr>
        <w:t>（二）文件格式要求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PDF格式作为电子注册申报资料的文件格式，建议尽可能使用由源文件（如WORD文件）转化形成的PDF文件，而不是经扫描后创建的PDF格式，因为这种方法允许可检索文本在PDF中自动生成。建议Adobe Acrobat PDF软件的版本在11或以下，如果版本超过11，则建议将PDF另存为11或以下的PDF文件，禁止使用PDF编辑工具对PDF进行二次编辑，因此导致的签章失效或因文件版本不统一导致的文件异常，可能会造成审评时无法正常阅读。提交电子文件的总容量不做限定，考虑到系统运行的顺畅性，申报人应尽可能控制单个电子注册申报PDF文件在30MB以内。对于大于30MB的文件或申报人认为有必要进行适当拆分时，应将其按照内容进行拆分，并通过文件名称来反映原文件被拆分，如文件标题-part1、文件标题-part2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若注册申报资料含无法访问电子来源文件或需要第三方签章文件，此部分资料可以是扫描后创建的PDF文件。</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r>
        <w:rPr>
          <w:rFonts w:hint="default" w:ascii="Times New Roman" w:hAnsi="Times New Roman" w:eastAsia="楷体_GB2312" w:cs="Times New Roman"/>
          <w:b w:val="0"/>
          <w:i w:val="0"/>
          <w:caps w:val="0"/>
          <w:color w:val="auto"/>
          <w:spacing w:val="0"/>
          <w:sz w:val="32"/>
          <w:szCs w:val="32"/>
          <w:shd w:val="clear" w:color="auto" w:fill="FFFFFF"/>
        </w:rPr>
        <w:t>（三）文件名称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文件名称长度受文件层级和电脑运行系统设置影响，建议单个电子注册申报PDF文件名称不超过64个字符（32个汉字）。应根据实际情况确保自定义文件和目录名称在上述控制长度范围内，确保电子文档的正常阅读。文件命名应符合Windows文件命名规则。同一套电子注册申报资料中的PDF文件不可重名，否则会导致重名的文件无法成功上传。同一标题下需要上传多份文件时，文件的命名方法应该确保文件按预期的顺序进行显示。电子文档在命名时，为后续关联使用方便，建议采用目录节点编号名称开头命名，例如：（CH 1.</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1 ××产品监管信息章节目录</w:t>
      </w:r>
      <w:r>
        <w:rPr>
          <w:rFonts w:hint="default" w:ascii="Times New Roman" w:hAnsi="Times New Roman" w:eastAsia="仿宋_GB2312" w:cs="Times New Roman"/>
          <w:b w:val="0"/>
          <w:i w:val="0"/>
          <w:caps w:val="0"/>
          <w:color w:val="auto"/>
          <w:spacing w:val="0"/>
          <w:sz w:val="32"/>
          <w:szCs w:val="32"/>
          <w:shd w:val="clear" w:color="auto" w:fill="FFFFFF"/>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r>
        <w:rPr>
          <w:rFonts w:hint="default" w:ascii="Times New Roman" w:hAnsi="Times New Roman" w:eastAsia="楷体_GB2312" w:cs="Times New Roman"/>
          <w:b w:val="0"/>
          <w:i w:val="0"/>
          <w:caps w:val="0"/>
          <w:color w:val="auto"/>
          <w:spacing w:val="0"/>
          <w:sz w:val="32"/>
          <w:szCs w:val="32"/>
          <w:shd w:val="clear" w:color="auto" w:fill="FFFFFF"/>
        </w:rPr>
        <w:t>（四）书签设置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Times New Roman" w:hAnsi="Times New Roman" w:eastAsia="仿宋_GB2312" w:cs="Times New Roman"/>
          <w:b w:val="0"/>
          <w:i w:val="0"/>
          <w:caps w:val="0"/>
          <w:color w:val="auto"/>
          <w:spacing w:val="0"/>
          <w:sz w:val="32"/>
          <w:szCs w:val="32"/>
          <w:shd w:val="clear" w:color="auto" w:fill="FFFFFF"/>
        </w:rPr>
      </w:pPr>
      <w:r>
        <w:rPr>
          <w:rFonts w:hint="default" w:ascii="Times New Roman" w:hAnsi="Times New Roman" w:eastAsia="仿宋_GB2312" w:cs="Times New Roman"/>
          <w:b w:val="0"/>
          <w:i w:val="0"/>
          <w:caps w:val="0"/>
          <w:color w:val="auto"/>
          <w:spacing w:val="0"/>
          <w:sz w:val="32"/>
          <w:szCs w:val="32"/>
          <w:shd w:val="clear" w:color="auto" w:fill="FFFFFF"/>
        </w:rPr>
        <w:t>对于页数大于或等于10页的文件建议设置内部的目录，文件内部目录由书签自动生成，章节、小节、表格、图片和附录均建议作为书签。通常，在文字处理器中使用标题、页眉或样式最容易创建标签，其在文件被转换成PDF格式后即可转换成书签。或者，也可以通过在最终的PDF文件中选择文本并创建新标签到此处以该文本做名称创建书签，或建立新的书签并手动对其命名。书签的层级最多为三层：1标题，1.1亚标题，1.1.1亚－亚标题。建议设置初次阅读文件时用于打开</w:t>
      </w:r>
      <w:r>
        <w:rPr>
          <w:rFonts w:hint="eastAsia" w:ascii="Times New Roman" w:hAnsi="Times New Roman" w:eastAsia="仿宋_GB2312" w:cs="Times New Roman"/>
          <w:b w:val="0"/>
          <w:i w:val="0"/>
          <w:caps w:val="0"/>
          <w:color w:val="auto"/>
          <w:spacing w:val="0"/>
          <w:sz w:val="32"/>
          <w:szCs w:val="32"/>
          <w:shd w:val="clear" w:color="auto" w:fill="FFFFFF"/>
        </w:rPr>
        <w:t>“书签和页码”的导航标签。如果没有书签，设置“仅页码”导航标签。</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r>
        <w:rPr>
          <w:rFonts w:hint="default" w:ascii="Times New Roman" w:hAnsi="Times New Roman" w:eastAsia="楷体_GB2312" w:cs="Times New Roman"/>
          <w:b w:val="0"/>
          <w:i w:val="0"/>
          <w:caps w:val="0"/>
          <w:color w:val="auto"/>
          <w:spacing w:val="0"/>
          <w:sz w:val="32"/>
          <w:szCs w:val="32"/>
          <w:shd w:val="clear" w:color="auto" w:fill="FFFFFF"/>
        </w:rPr>
        <w:t>（五）页码编制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电子注册申报资料页码应正确标识，保证通过页码可以定位相关信息。每个PDF文件均应设置页码。页码建议体现所在目录编号信息，应清晰可辨，建议在文件下方正中位置。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r>
        <w:rPr>
          <w:rFonts w:hint="default" w:ascii="Times New Roman" w:hAnsi="Times New Roman" w:eastAsia="楷体_GB2312" w:cs="Times New Roman"/>
          <w:b w:val="0"/>
          <w:i w:val="0"/>
          <w:caps w:val="0"/>
          <w:color w:val="auto"/>
          <w:spacing w:val="0"/>
          <w:sz w:val="32"/>
          <w:szCs w:val="32"/>
          <w:shd w:val="clear" w:color="auto" w:fill="FFFFFF"/>
        </w:rPr>
        <w:t>（六）显示完整性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为最大程度保证PDF文件的有效阅读，PDF文件禁用由某种条件触发才能实现的显示或打印功能，禁用交互式表单和内部可执行代码。为保证文件定位的方便快捷，同一份PDF文件内的超链接是允许的，但不应在不同文件之间使用超链接。PDF文件中如有超链接，注册申请人在上传资料时有责任确保超链接在预览模式下有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黑体" w:cs="Times New Roman"/>
          <w:b w:val="0"/>
          <w:i w:val="0"/>
          <w:caps w:val="0"/>
          <w:color w:val="auto"/>
          <w:spacing w:val="0"/>
          <w:sz w:val="32"/>
          <w:szCs w:val="32"/>
          <w:shd w:val="clear" w:color="auto" w:fill="FFFFFF"/>
        </w:rPr>
      </w:pPr>
      <w:r>
        <w:rPr>
          <w:rFonts w:hint="default" w:ascii="Times New Roman" w:hAnsi="Times New Roman" w:eastAsia="黑体" w:cs="Times New Roman"/>
          <w:b w:val="0"/>
          <w:i w:val="0"/>
          <w:caps w:val="0"/>
          <w:color w:val="auto"/>
          <w:spacing w:val="0"/>
          <w:sz w:val="32"/>
          <w:szCs w:val="32"/>
          <w:shd w:val="clear" w:color="auto" w:fill="FFFFFF"/>
        </w:rPr>
        <w:t>五、</w:t>
      </w:r>
      <w:r>
        <w:rPr>
          <w:rFonts w:hint="default" w:ascii="Times New Roman" w:hAnsi="Times New Roman" w:eastAsia="黑体" w:cs="Times New Roman"/>
          <w:b w:val="0"/>
          <w:i w:val="0"/>
          <w:caps w:val="0"/>
          <w:color w:val="auto"/>
          <w:spacing w:val="0"/>
          <w:sz w:val="32"/>
          <w:szCs w:val="32"/>
          <w:shd w:val="clear" w:color="auto" w:fill="FFFFFF"/>
          <w:lang w:eastAsia="zh-CN"/>
        </w:rPr>
        <w:t>电子申报子系统</w:t>
      </w:r>
      <w:r>
        <w:rPr>
          <w:rFonts w:hint="default" w:ascii="Times New Roman" w:hAnsi="Times New Roman" w:eastAsia="黑体" w:cs="Times New Roman"/>
          <w:b w:val="0"/>
          <w:i w:val="0"/>
          <w:caps w:val="0"/>
          <w:color w:val="auto"/>
          <w:spacing w:val="0"/>
          <w:sz w:val="32"/>
          <w:szCs w:val="32"/>
          <w:shd w:val="clear" w:color="auto" w:fill="FFFFFF"/>
        </w:rPr>
        <w:t>操作流程</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r>
        <w:rPr>
          <w:rFonts w:hint="default" w:ascii="Times New Roman" w:hAnsi="Times New Roman" w:eastAsia="楷体_GB2312" w:cs="Times New Roman"/>
          <w:b w:val="0"/>
          <w:i w:val="0"/>
          <w:caps w:val="0"/>
          <w:color w:val="auto"/>
          <w:spacing w:val="0"/>
          <w:sz w:val="32"/>
          <w:szCs w:val="32"/>
          <w:shd w:val="clear" w:color="auto" w:fill="FFFFFF"/>
        </w:rPr>
        <w:t>（一）申请表填写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lang w:eastAsia="zh-CN"/>
        </w:rPr>
      </w:pPr>
      <w:r>
        <w:rPr>
          <w:rFonts w:hint="default" w:ascii="Times New Roman" w:hAnsi="Times New Roman" w:eastAsia="仿宋_GB2312" w:cs="Times New Roman"/>
          <w:b w:val="0"/>
          <w:i w:val="0"/>
          <w:caps w:val="0"/>
          <w:color w:val="auto"/>
          <w:spacing w:val="0"/>
          <w:sz w:val="32"/>
          <w:szCs w:val="32"/>
          <w:shd w:val="clear" w:color="auto" w:fill="FFFFFF"/>
        </w:rPr>
        <w:t>申请人在线填写第二类医疗器械（体外诊断试剂）产品注册/变更注册/延续注册</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/变更备案</w:t>
      </w:r>
      <w:r>
        <w:rPr>
          <w:rFonts w:hint="default" w:ascii="Times New Roman" w:hAnsi="Times New Roman" w:eastAsia="仿宋_GB2312" w:cs="Times New Roman"/>
          <w:b w:val="0"/>
          <w:i w:val="0"/>
          <w:caps w:val="0"/>
          <w:color w:val="auto"/>
          <w:spacing w:val="0"/>
          <w:sz w:val="32"/>
          <w:szCs w:val="32"/>
          <w:shd w:val="clear" w:color="auto" w:fill="FFFFFF"/>
        </w:rPr>
        <w:t>申请表</w:t>
      </w:r>
      <w:r>
        <w:rPr>
          <w:rFonts w:hint="default" w:ascii="Times New Roman" w:hAnsi="Times New Roman" w:eastAsia="仿宋_GB2312" w:cs="Times New Roman"/>
          <w:b w:val="0"/>
          <w:i w:val="0"/>
          <w:caps w:val="0"/>
          <w:color w:val="auto"/>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楷体_GB2312" w:cs="Times New Roman"/>
          <w:b w:val="0"/>
          <w:i w:val="0"/>
          <w:caps w:val="0"/>
          <w:color w:val="auto"/>
          <w:spacing w:val="0"/>
          <w:sz w:val="32"/>
          <w:szCs w:val="32"/>
          <w:shd w:val="clear" w:color="auto" w:fill="FFFFFF"/>
        </w:rPr>
        <w:t>（二）电子签章及上传电子申报资料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shd w:val="clear" w:color="auto" w:fill="FFFFFF"/>
        </w:rPr>
      </w:pPr>
      <w:r>
        <w:rPr>
          <w:rFonts w:hint="default" w:ascii="Times New Roman" w:hAnsi="Times New Roman" w:eastAsia="仿宋_GB2312" w:cs="Times New Roman"/>
          <w:b w:val="0"/>
          <w:i w:val="0"/>
          <w:caps w:val="0"/>
          <w:color w:val="auto"/>
          <w:spacing w:val="0"/>
          <w:sz w:val="32"/>
          <w:szCs w:val="32"/>
          <w:shd w:val="clear" w:color="auto" w:fill="FFFFFF"/>
        </w:rPr>
        <w:t>申请人在本地电脑准备材料，在</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签章客户端</w:t>
      </w:r>
      <w:r>
        <w:rPr>
          <w:rFonts w:hint="default" w:ascii="Times New Roman" w:hAnsi="Times New Roman" w:eastAsia="仿宋_GB2312" w:cs="Times New Roman"/>
          <w:b w:val="0"/>
          <w:i w:val="0"/>
          <w:caps w:val="0"/>
          <w:color w:val="auto"/>
          <w:spacing w:val="0"/>
          <w:sz w:val="32"/>
          <w:szCs w:val="32"/>
          <w:shd w:val="clear" w:color="auto" w:fill="FFFFFF"/>
        </w:rPr>
        <w:t>进行文件电子签章，插入实体CA证书后点击签章，输入证书PIN码，等待文件自动签章完成。签章完成后选择文件存储路径，</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保存</w:t>
      </w:r>
      <w:r>
        <w:rPr>
          <w:rFonts w:hint="default" w:ascii="Times New Roman" w:hAnsi="Times New Roman" w:eastAsia="仿宋_GB2312" w:cs="Times New Roman"/>
          <w:b w:val="0"/>
          <w:i w:val="0"/>
          <w:caps w:val="0"/>
          <w:color w:val="auto"/>
          <w:spacing w:val="0"/>
          <w:sz w:val="32"/>
          <w:szCs w:val="32"/>
          <w:shd w:val="clear" w:color="auto" w:fill="FFFFFF"/>
        </w:rPr>
        <w:t>签章后的文件</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到本地电脑</w:t>
      </w:r>
      <w:r>
        <w:rPr>
          <w:rFonts w:hint="default" w:ascii="Times New Roman" w:hAnsi="Times New Roman" w:eastAsia="仿宋_GB2312" w:cs="Times New Roman"/>
          <w:b w:val="0"/>
          <w:i w:val="0"/>
          <w:caps w:val="0"/>
          <w:color w:val="auto"/>
          <w:spacing w:val="0"/>
          <w:sz w:val="32"/>
          <w:szCs w:val="32"/>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申请人进行事项申报</w:t>
      </w:r>
      <w:r>
        <w:rPr>
          <w:rFonts w:hint="default" w:ascii="Times New Roman" w:hAnsi="Times New Roman" w:eastAsia="仿宋_GB2312" w:cs="Times New Roman"/>
          <w:b w:val="0"/>
          <w:i w:val="0"/>
          <w:caps w:val="0"/>
          <w:color w:val="auto"/>
          <w:spacing w:val="0"/>
          <w:sz w:val="32"/>
          <w:szCs w:val="32"/>
          <w:shd w:val="clear" w:color="auto" w:fill="FFFFFF"/>
          <w:lang w:eastAsia="zh-CN"/>
        </w:rPr>
        <w:t>时</w:t>
      </w:r>
      <w:r>
        <w:rPr>
          <w:rFonts w:hint="default" w:ascii="Times New Roman" w:hAnsi="Times New Roman" w:eastAsia="仿宋_GB2312" w:cs="Times New Roman"/>
          <w:b w:val="0"/>
          <w:i w:val="0"/>
          <w:caps w:val="0"/>
          <w:color w:val="auto"/>
          <w:spacing w:val="0"/>
          <w:sz w:val="32"/>
          <w:szCs w:val="32"/>
          <w:shd w:val="clear" w:color="auto" w:fill="FFFFFF"/>
        </w:rPr>
        <w:t>，</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选</w:t>
      </w:r>
      <w:r>
        <w:rPr>
          <w:rFonts w:hint="eastAsia" w:ascii="仿宋_GB2312" w:hAnsi="仿宋_GB2312" w:eastAsia="仿宋_GB2312" w:cs="仿宋_GB2312"/>
          <w:b w:val="0"/>
          <w:i w:val="0"/>
          <w:caps w:val="0"/>
          <w:color w:val="auto"/>
          <w:spacing w:val="0"/>
          <w:sz w:val="32"/>
          <w:szCs w:val="32"/>
          <w:shd w:val="clear" w:color="auto" w:fill="FFFFFF"/>
          <w:lang w:val="en-US" w:eastAsia="zh-CN"/>
        </w:rPr>
        <w:t>择“文件统一上传”，</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文件再关联电子目录，确认材料关联完成进行提交</w:t>
      </w:r>
      <w:r>
        <w:rPr>
          <w:rFonts w:hint="default" w:ascii="Times New Roman" w:hAnsi="Times New Roman" w:eastAsia="仿宋_GB2312" w:cs="Times New Roman"/>
          <w:b w:val="0"/>
          <w:i w:val="0"/>
          <w:caps w:val="0"/>
          <w:color w:val="auto"/>
          <w:spacing w:val="0"/>
          <w:sz w:val="32"/>
          <w:szCs w:val="32"/>
          <w:shd w:val="clear" w:color="auto" w:fill="FFFFFF"/>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r>
        <w:rPr>
          <w:rFonts w:hint="default" w:ascii="Times New Roman" w:hAnsi="Times New Roman" w:eastAsia="楷体_GB2312" w:cs="Times New Roman"/>
          <w:b w:val="0"/>
          <w:i w:val="0"/>
          <w:caps w:val="0"/>
          <w:color w:val="auto"/>
          <w:spacing w:val="0"/>
          <w:sz w:val="32"/>
          <w:szCs w:val="32"/>
          <w:shd w:val="clear" w:color="auto" w:fill="FFFFFF"/>
        </w:rPr>
        <w:t>（三）受理审查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rPr>
      </w:pPr>
      <w:r>
        <w:rPr>
          <w:rFonts w:hint="default" w:ascii="Times New Roman" w:hAnsi="Times New Roman" w:eastAsia="仿宋_GB2312" w:cs="Times New Roman"/>
          <w:b w:val="0"/>
          <w:i w:val="0"/>
          <w:caps w:val="0"/>
          <w:color w:val="auto"/>
          <w:spacing w:val="0"/>
          <w:sz w:val="32"/>
          <w:szCs w:val="32"/>
          <w:shd w:val="clear" w:color="auto" w:fill="FFFFFF"/>
        </w:rPr>
        <w:t>工作人员自注册申报资料签收之日起在</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3</w:t>
      </w:r>
      <w:r>
        <w:rPr>
          <w:rFonts w:hint="default" w:ascii="Times New Roman" w:hAnsi="Times New Roman" w:eastAsia="仿宋_GB2312" w:cs="Times New Roman"/>
          <w:b w:val="0"/>
          <w:i w:val="0"/>
          <w:caps w:val="0"/>
          <w:color w:val="auto"/>
          <w:spacing w:val="0"/>
          <w:sz w:val="32"/>
          <w:szCs w:val="32"/>
          <w:shd w:val="clear" w:color="auto" w:fill="FFFFFF"/>
        </w:rPr>
        <w:t>个工作日内按照相应的受理标准要求对申报资料在线审查。符合受理要求的，开具电子版受理通知书和缴费通知书；不符合受理要求的，开具电子版受理补正通知书，列明补正材料意见，注册申报事项状态变更为</w:t>
      </w:r>
      <w:r>
        <w:rPr>
          <w:rFonts w:hint="eastAsia" w:ascii="仿宋_GB2312" w:hAnsi="仿宋_GB2312" w:eastAsia="仿宋_GB2312" w:cs="仿宋_GB2312"/>
          <w:b w:val="0"/>
          <w:i w:val="0"/>
          <w:caps w:val="0"/>
          <w:color w:val="auto"/>
          <w:spacing w:val="0"/>
          <w:sz w:val="32"/>
          <w:szCs w:val="32"/>
          <w:shd w:val="clear" w:color="auto" w:fill="FFFFFF"/>
        </w:rPr>
        <w:t>“</w:t>
      </w:r>
      <w:r>
        <w:rPr>
          <w:rFonts w:hint="eastAsia" w:ascii="仿宋_GB2312" w:hAnsi="仿宋_GB2312" w:eastAsia="仿宋_GB2312" w:cs="仿宋_GB2312"/>
          <w:b w:val="0"/>
          <w:i w:val="0"/>
          <w:caps w:val="0"/>
          <w:color w:val="auto"/>
          <w:spacing w:val="0"/>
          <w:sz w:val="32"/>
          <w:szCs w:val="32"/>
          <w:shd w:val="clear" w:color="auto" w:fill="FFFFFF"/>
          <w:lang w:eastAsia="zh-CN"/>
        </w:rPr>
        <w:t>受理</w:t>
      </w:r>
      <w:r>
        <w:rPr>
          <w:rFonts w:hint="eastAsia" w:ascii="仿宋_GB2312" w:hAnsi="仿宋_GB2312" w:eastAsia="仿宋_GB2312" w:cs="仿宋_GB2312"/>
          <w:b w:val="0"/>
          <w:i w:val="0"/>
          <w:caps w:val="0"/>
          <w:color w:val="auto"/>
          <w:spacing w:val="0"/>
          <w:sz w:val="32"/>
          <w:szCs w:val="32"/>
          <w:shd w:val="clear" w:color="auto" w:fill="FFFFFF"/>
        </w:rPr>
        <w:t>补正”</w:t>
      </w:r>
      <w:r>
        <w:rPr>
          <w:rFonts w:hint="default" w:ascii="Times New Roman" w:hAnsi="Times New Roman" w:eastAsia="仿宋_GB2312" w:cs="Times New Roman"/>
          <w:b w:val="0"/>
          <w:i w:val="0"/>
          <w:caps w:val="0"/>
          <w:color w:val="auto"/>
          <w:spacing w:val="0"/>
          <w:sz w:val="32"/>
          <w:szCs w:val="32"/>
          <w:shd w:val="clear" w:color="auto" w:fill="FFFFFF"/>
        </w:rPr>
        <w:t>状态，并开放修改权限，注册申请人可在原申请基础上进行修改、完善包括申请表及电子资料，如修改了材料确认无误后，重新</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在客户端签章，再次关联材料进行</w:t>
      </w:r>
      <w:r>
        <w:rPr>
          <w:rFonts w:hint="default" w:ascii="Times New Roman" w:hAnsi="Times New Roman" w:eastAsia="仿宋_GB2312" w:cs="Times New Roman"/>
          <w:b w:val="0"/>
          <w:i w:val="0"/>
          <w:caps w:val="0"/>
          <w:color w:val="auto"/>
          <w:spacing w:val="0"/>
          <w:sz w:val="32"/>
          <w:szCs w:val="32"/>
          <w:shd w:val="clear" w:color="auto" w:fill="FFFFFF"/>
        </w:rPr>
        <w:t>提交。若申报项目属于不予受理的情形，工作人员向注册申请人出具电子版不予受理通知书，列明不予受理的原因，终止此次申请流程。</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r>
        <w:rPr>
          <w:rFonts w:hint="default" w:ascii="Times New Roman" w:hAnsi="Times New Roman" w:eastAsia="楷体_GB2312" w:cs="Times New Roman"/>
          <w:b w:val="0"/>
          <w:i w:val="0"/>
          <w:caps w:val="0"/>
          <w:color w:val="auto"/>
          <w:spacing w:val="0"/>
          <w:sz w:val="32"/>
          <w:szCs w:val="32"/>
          <w:shd w:val="clear" w:color="auto" w:fill="FFFFFF"/>
        </w:rPr>
        <w:t>（四）缴费流转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shd w:val="clear" w:color="auto" w:fill="FFFFFF"/>
        </w:rPr>
      </w:pPr>
      <w:r>
        <w:rPr>
          <w:rFonts w:hint="default" w:ascii="Times New Roman" w:hAnsi="Times New Roman" w:eastAsia="仿宋_GB2312" w:cs="Times New Roman"/>
          <w:b w:val="0"/>
          <w:i w:val="0"/>
          <w:caps w:val="0"/>
          <w:color w:val="auto"/>
          <w:spacing w:val="0"/>
          <w:sz w:val="32"/>
          <w:szCs w:val="32"/>
          <w:shd w:val="clear" w:color="auto" w:fill="FFFFFF"/>
        </w:rPr>
        <w:t>电子注册申报资料予以受理后，需要缴纳医疗器械注册费用的，系统向注册申请人发送短信提醒，注册申请人应按照缴费通知书要求</w:t>
      </w:r>
      <w:r>
        <w:rPr>
          <w:rFonts w:hint="default" w:ascii="Times New Roman" w:hAnsi="Times New Roman" w:eastAsia="仿宋_GB2312" w:cs="Times New Roman"/>
          <w:b w:val="0"/>
          <w:i w:val="0"/>
          <w:caps w:val="0"/>
          <w:color w:val="auto"/>
          <w:spacing w:val="0"/>
          <w:sz w:val="32"/>
          <w:szCs w:val="32"/>
          <w:shd w:val="clear" w:color="auto" w:fill="FFFFFF"/>
          <w:lang w:eastAsia="zh-CN"/>
        </w:rPr>
        <w:t>在</w:t>
      </w:r>
      <w:r>
        <w:rPr>
          <w:rFonts w:hint="default" w:ascii="Times New Roman" w:hAnsi="Times New Roman" w:eastAsia="仿宋_GB2312" w:cs="Times New Roman"/>
          <w:b w:val="0"/>
          <w:i w:val="0"/>
          <w:caps w:val="0"/>
          <w:color w:val="auto"/>
          <w:spacing w:val="0"/>
          <w:sz w:val="32"/>
          <w:szCs w:val="32"/>
          <w:shd w:val="clear" w:color="auto" w:fill="FFFFFF"/>
          <w:lang w:val="en-US" w:eastAsia="zh-CN"/>
        </w:rPr>
        <w:t>15个工作日内</w:t>
      </w:r>
      <w:r>
        <w:rPr>
          <w:rFonts w:hint="default" w:ascii="Times New Roman" w:hAnsi="Times New Roman" w:eastAsia="仿宋_GB2312" w:cs="Times New Roman"/>
          <w:b w:val="0"/>
          <w:i w:val="0"/>
          <w:caps w:val="0"/>
          <w:color w:val="auto"/>
          <w:spacing w:val="0"/>
          <w:sz w:val="32"/>
          <w:szCs w:val="32"/>
          <w:shd w:val="clear" w:color="auto" w:fill="FFFFFF"/>
        </w:rPr>
        <w:t>进行缴费，未在规定期限内缴费的，视为注册申请人主动撤回申请，将终止其注册程序。</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eastAsia" w:ascii="Times New Roman" w:hAnsi="Times New Roman" w:eastAsia="楷体_GB2312" w:cs="Times New Roman"/>
          <w:b w:val="0"/>
          <w:i w:val="0"/>
          <w:caps w:val="0"/>
          <w:color w:val="auto"/>
          <w:spacing w:val="0"/>
          <w:sz w:val="32"/>
          <w:szCs w:val="32"/>
          <w:shd w:val="clear" w:color="auto" w:fill="FFFFFF"/>
          <w:lang w:eastAsia="zh-CN"/>
        </w:rPr>
      </w:pPr>
      <w:r>
        <w:rPr>
          <w:rFonts w:hint="eastAsia" w:ascii="Times New Roman" w:hAnsi="Times New Roman" w:eastAsia="楷体_GB2312" w:cs="Times New Roman"/>
          <w:b w:val="0"/>
          <w:i w:val="0"/>
          <w:caps w:val="0"/>
          <w:color w:val="auto"/>
          <w:spacing w:val="0"/>
          <w:sz w:val="32"/>
          <w:szCs w:val="32"/>
          <w:shd w:val="clear" w:color="auto" w:fill="FFFFFF"/>
          <w:lang w:eastAsia="zh-CN"/>
        </w:rPr>
        <w:t>（五）质量体系核查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Times New Roman" w:hAnsi="Times New Roman" w:eastAsia="仿宋_GB2312" w:cs="Times New Roman"/>
          <w:b w:val="0"/>
          <w:i w:val="0"/>
          <w:caps w:val="0"/>
          <w:color w:val="auto"/>
          <w:spacing w:val="0"/>
          <w:sz w:val="32"/>
          <w:szCs w:val="32"/>
          <w:shd w:val="clear" w:color="auto" w:fill="FFFFFF"/>
          <w:lang w:eastAsia="zh-CN"/>
        </w:rPr>
      </w:pPr>
      <w:r>
        <w:rPr>
          <w:rFonts w:hint="eastAsia" w:ascii="Times New Roman" w:hAnsi="Times New Roman" w:eastAsia="仿宋_GB2312" w:cs="Times New Roman"/>
          <w:b w:val="0"/>
          <w:i w:val="0"/>
          <w:caps w:val="0"/>
          <w:color w:val="auto"/>
          <w:spacing w:val="0"/>
          <w:sz w:val="32"/>
          <w:szCs w:val="32"/>
          <w:shd w:val="clear" w:color="auto" w:fill="FFFFFF"/>
          <w:lang w:eastAsia="zh-CN"/>
        </w:rPr>
        <w:t>检查员</w:t>
      </w:r>
      <w:r>
        <w:rPr>
          <w:rFonts w:hint="default" w:ascii="Times New Roman" w:hAnsi="Times New Roman" w:eastAsia="仿宋_GB2312" w:cs="Times New Roman"/>
          <w:b w:val="0"/>
          <w:i w:val="0"/>
          <w:caps w:val="0"/>
          <w:color w:val="auto"/>
          <w:spacing w:val="0"/>
          <w:sz w:val="32"/>
          <w:szCs w:val="32"/>
          <w:shd w:val="clear" w:color="auto" w:fill="FFFFFF"/>
        </w:rPr>
        <w:t>可以在线阅读</w:t>
      </w:r>
      <w:r>
        <w:rPr>
          <w:rFonts w:hint="default" w:ascii="Times New Roman" w:hAnsi="Times New Roman" w:eastAsia="仿宋_GB2312" w:cs="Times New Roman"/>
          <w:b w:val="0"/>
          <w:i w:val="0"/>
          <w:caps w:val="0"/>
          <w:color w:val="auto"/>
          <w:spacing w:val="0"/>
          <w:sz w:val="32"/>
          <w:szCs w:val="32"/>
          <w:shd w:val="clear" w:color="auto" w:fill="FFFFFF"/>
          <w:lang w:eastAsia="zh-CN"/>
        </w:rPr>
        <w:t>申报</w:t>
      </w:r>
      <w:r>
        <w:rPr>
          <w:rFonts w:hint="default" w:ascii="Times New Roman" w:hAnsi="Times New Roman" w:eastAsia="仿宋_GB2312" w:cs="Times New Roman"/>
          <w:b w:val="0"/>
          <w:i w:val="0"/>
          <w:caps w:val="0"/>
          <w:color w:val="auto"/>
          <w:spacing w:val="0"/>
          <w:sz w:val="32"/>
          <w:szCs w:val="32"/>
          <w:shd w:val="clear" w:color="auto" w:fill="FFFFFF"/>
        </w:rPr>
        <w:t>产品的电子注册申报</w:t>
      </w:r>
      <w:r>
        <w:rPr>
          <w:rFonts w:hint="eastAsia" w:ascii="Times New Roman" w:hAnsi="Times New Roman" w:eastAsia="仿宋_GB2312" w:cs="Times New Roman"/>
          <w:b w:val="0"/>
          <w:i w:val="0"/>
          <w:caps w:val="0"/>
          <w:color w:val="auto"/>
          <w:spacing w:val="0"/>
          <w:sz w:val="32"/>
          <w:szCs w:val="32"/>
          <w:shd w:val="clear" w:color="auto" w:fill="FFFFFF"/>
          <w:lang w:eastAsia="zh-CN"/>
        </w:rPr>
        <w:t>质量体系核查</w:t>
      </w:r>
      <w:r>
        <w:rPr>
          <w:rFonts w:hint="default" w:ascii="Times New Roman" w:hAnsi="Times New Roman" w:eastAsia="仿宋_GB2312" w:cs="Times New Roman"/>
          <w:b w:val="0"/>
          <w:i w:val="0"/>
          <w:caps w:val="0"/>
          <w:color w:val="auto"/>
          <w:spacing w:val="0"/>
          <w:sz w:val="32"/>
          <w:szCs w:val="32"/>
          <w:shd w:val="clear" w:color="auto" w:fill="FFFFFF"/>
        </w:rPr>
        <w:t>资料，实现随时调阅、同步查看、批量预览、备注标记等功能，并全程留痕。</w:t>
      </w:r>
      <w:r>
        <w:rPr>
          <w:rFonts w:hint="eastAsia" w:ascii="Times New Roman" w:hAnsi="Times New Roman" w:eastAsia="仿宋_GB2312" w:cs="Times New Roman"/>
          <w:b w:val="0"/>
          <w:i w:val="0"/>
          <w:caps w:val="0"/>
          <w:color w:val="auto"/>
          <w:spacing w:val="0"/>
          <w:sz w:val="32"/>
          <w:szCs w:val="32"/>
          <w:u w:val="none"/>
          <w:shd w:val="clear" w:color="auto" w:fill="FFFFFF"/>
          <w:lang w:eastAsia="zh-CN"/>
        </w:rPr>
        <w:t>检查</w:t>
      </w:r>
      <w:r>
        <w:rPr>
          <w:rFonts w:hint="default" w:ascii="Times New Roman" w:hAnsi="Times New Roman" w:eastAsia="仿宋_GB2312" w:cs="Times New Roman"/>
          <w:b w:val="0"/>
          <w:i w:val="0"/>
          <w:caps w:val="0"/>
          <w:color w:val="auto"/>
          <w:spacing w:val="0"/>
          <w:sz w:val="32"/>
          <w:szCs w:val="32"/>
          <w:u w:val="none"/>
          <w:shd w:val="clear" w:color="auto" w:fill="FFFFFF"/>
        </w:rPr>
        <w:t>人员查阅电子版资料后，出具电子版</w:t>
      </w:r>
      <w:r>
        <w:rPr>
          <w:rFonts w:hint="eastAsia" w:ascii="Times New Roman" w:hAnsi="Times New Roman" w:eastAsia="仿宋_GB2312" w:cs="Times New Roman"/>
          <w:b w:val="0"/>
          <w:i w:val="0"/>
          <w:caps w:val="0"/>
          <w:color w:val="auto"/>
          <w:spacing w:val="0"/>
          <w:sz w:val="32"/>
          <w:szCs w:val="32"/>
          <w:u w:val="none"/>
          <w:shd w:val="clear" w:color="auto" w:fill="FFFFFF"/>
          <w:lang w:eastAsia="zh-CN"/>
        </w:rPr>
        <w:t>质量体系现场核查告</w:t>
      </w:r>
      <w:r>
        <w:rPr>
          <w:rFonts w:hint="default" w:ascii="Times New Roman" w:hAnsi="Times New Roman" w:eastAsia="仿宋_GB2312" w:cs="Times New Roman"/>
          <w:b w:val="0"/>
          <w:i w:val="0"/>
          <w:caps w:val="0"/>
          <w:color w:val="auto"/>
          <w:spacing w:val="0"/>
          <w:sz w:val="32"/>
          <w:szCs w:val="32"/>
          <w:u w:val="none"/>
          <w:shd w:val="clear" w:color="auto" w:fill="FFFFFF"/>
        </w:rPr>
        <w:t>知</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书</w:t>
      </w:r>
      <w:r>
        <w:rPr>
          <w:rFonts w:hint="default" w:ascii="Times New Roman" w:hAnsi="Times New Roman" w:eastAsia="仿宋_GB2312" w:cs="Times New Roman"/>
          <w:b w:val="0"/>
          <w:i w:val="0"/>
          <w:caps w:val="0"/>
          <w:color w:val="auto"/>
          <w:spacing w:val="0"/>
          <w:sz w:val="32"/>
          <w:szCs w:val="32"/>
          <w:u w:val="none"/>
          <w:shd w:val="clear" w:color="auto" w:fill="FFFFFF"/>
        </w:rPr>
        <w:t>，</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电子申报子系统</w:t>
      </w:r>
      <w:r>
        <w:rPr>
          <w:rFonts w:hint="default" w:ascii="Times New Roman" w:hAnsi="Times New Roman" w:eastAsia="仿宋_GB2312" w:cs="Times New Roman"/>
          <w:b w:val="0"/>
          <w:i w:val="0"/>
          <w:caps w:val="0"/>
          <w:color w:val="auto"/>
          <w:spacing w:val="0"/>
          <w:sz w:val="32"/>
          <w:szCs w:val="32"/>
          <w:u w:val="none"/>
          <w:shd w:val="clear" w:color="auto" w:fill="FFFFFF"/>
        </w:rPr>
        <w:t>自动向注册申请人</w:t>
      </w:r>
      <w:r>
        <w:rPr>
          <w:rFonts w:hint="eastAsia" w:ascii="Times New Roman" w:hAnsi="Times New Roman" w:eastAsia="仿宋_GB2312" w:cs="Times New Roman"/>
          <w:b w:val="0"/>
          <w:i w:val="0"/>
          <w:caps w:val="0"/>
          <w:color w:val="auto"/>
          <w:spacing w:val="0"/>
          <w:sz w:val="32"/>
          <w:szCs w:val="32"/>
          <w:u w:val="none"/>
          <w:shd w:val="clear" w:color="auto" w:fill="FFFFFF"/>
          <w:lang w:eastAsia="zh-CN"/>
        </w:rPr>
        <w:t>推动核查通知。对于质量体系核查需要整改后复查的，注册申请人应按照整改要求在</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电子申报子系统</w:t>
      </w:r>
      <w:r>
        <w:rPr>
          <w:rFonts w:hint="eastAsia" w:ascii="Times New Roman" w:hAnsi="Times New Roman" w:eastAsia="仿宋_GB2312" w:cs="Times New Roman"/>
          <w:b w:val="0"/>
          <w:i w:val="0"/>
          <w:caps w:val="0"/>
          <w:color w:val="auto"/>
          <w:spacing w:val="0"/>
          <w:sz w:val="32"/>
          <w:szCs w:val="32"/>
          <w:u w:val="none"/>
          <w:shd w:val="clear" w:color="auto" w:fill="FFFFFF"/>
          <w:lang w:eastAsia="zh-CN"/>
        </w:rPr>
        <w:t>“核查整改”</w:t>
      </w:r>
      <w:r>
        <w:rPr>
          <w:rFonts w:hint="default" w:ascii="Times New Roman" w:hAnsi="Times New Roman" w:eastAsia="仿宋_GB2312" w:cs="Times New Roman"/>
          <w:b w:val="0"/>
          <w:i w:val="0"/>
          <w:caps w:val="0"/>
          <w:color w:val="auto"/>
          <w:spacing w:val="0"/>
          <w:sz w:val="32"/>
          <w:szCs w:val="32"/>
          <w:u w:val="none"/>
          <w:shd w:val="clear" w:color="auto" w:fill="FFFFFF"/>
        </w:rPr>
        <w:t>模块上传电子版</w:t>
      </w:r>
      <w:r>
        <w:rPr>
          <w:rFonts w:hint="eastAsia" w:ascii="Times New Roman" w:hAnsi="Times New Roman" w:eastAsia="仿宋_GB2312" w:cs="Times New Roman"/>
          <w:b w:val="0"/>
          <w:i w:val="0"/>
          <w:caps w:val="0"/>
          <w:color w:val="auto"/>
          <w:spacing w:val="0"/>
          <w:sz w:val="32"/>
          <w:szCs w:val="32"/>
          <w:u w:val="none"/>
          <w:shd w:val="clear" w:color="auto" w:fill="FFFFFF"/>
          <w:lang w:eastAsia="zh-CN"/>
        </w:rPr>
        <w:t>整改</w:t>
      </w:r>
      <w:r>
        <w:rPr>
          <w:rFonts w:hint="default" w:ascii="Times New Roman" w:hAnsi="Times New Roman" w:eastAsia="仿宋_GB2312" w:cs="Times New Roman"/>
          <w:b w:val="0"/>
          <w:i w:val="0"/>
          <w:caps w:val="0"/>
          <w:color w:val="auto"/>
          <w:spacing w:val="0"/>
          <w:sz w:val="32"/>
          <w:szCs w:val="32"/>
          <w:u w:val="none"/>
          <w:shd w:val="clear" w:color="auto" w:fill="FFFFFF"/>
        </w:rPr>
        <w:t>资料及其他要求资料</w:t>
      </w:r>
      <w:r>
        <w:rPr>
          <w:rFonts w:hint="eastAsia" w:ascii="Times New Roman" w:hAnsi="Times New Roman" w:eastAsia="仿宋_GB2312" w:cs="Times New Roman"/>
          <w:b w:val="0"/>
          <w:i w:val="0"/>
          <w:caps w:val="0"/>
          <w:color w:val="auto"/>
          <w:spacing w:val="0"/>
          <w:sz w:val="32"/>
          <w:szCs w:val="32"/>
          <w:u w:val="none"/>
          <w:shd w:val="clear" w:color="auto" w:fill="FFFFFF"/>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r>
        <w:rPr>
          <w:rFonts w:hint="default" w:ascii="Times New Roman" w:hAnsi="Times New Roman" w:eastAsia="楷体_GB2312" w:cs="Times New Roman"/>
          <w:b w:val="0"/>
          <w:i w:val="0"/>
          <w:caps w:val="0"/>
          <w:color w:val="auto"/>
          <w:spacing w:val="0"/>
          <w:sz w:val="32"/>
          <w:szCs w:val="32"/>
          <w:u w:val="none"/>
          <w:shd w:val="clear" w:color="auto" w:fill="FFFFFF"/>
        </w:rPr>
        <w:t>（六）</w:t>
      </w:r>
      <w:r>
        <w:rPr>
          <w:rFonts w:hint="default" w:ascii="Times New Roman" w:hAnsi="Times New Roman" w:eastAsia="楷体_GB2312" w:cs="Times New Roman"/>
          <w:b w:val="0"/>
          <w:i w:val="0"/>
          <w:caps w:val="0"/>
          <w:color w:val="auto"/>
          <w:spacing w:val="0"/>
          <w:sz w:val="32"/>
          <w:szCs w:val="32"/>
          <w:shd w:val="clear" w:color="auto" w:fill="FFFFFF"/>
        </w:rPr>
        <w:t>审评审批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eastAsia="仿宋_GB2312" w:cs="Times New Roman"/>
          <w:b w:val="0"/>
          <w:i w:val="0"/>
          <w:color w:val="auto"/>
          <w:sz w:val="32"/>
          <w:szCs w:val="32"/>
          <w:u w:val="none"/>
        </w:rPr>
      </w:pPr>
      <w:r>
        <w:rPr>
          <w:rFonts w:hint="default" w:ascii="Times New Roman" w:hAnsi="Times New Roman" w:eastAsia="仿宋_GB2312" w:cs="Times New Roman"/>
          <w:b w:val="0"/>
          <w:i w:val="0"/>
          <w:caps w:val="0"/>
          <w:color w:val="auto"/>
          <w:spacing w:val="0"/>
          <w:sz w:val="32"/>
          <w:szCs w:val="32"/>
          <w:shd w:val="clear" w:color="auto" w:fill="FFFFFF"/>
        </w:rPr>
        <w:t>按照相关审评审批操作规范，具有某类产品的审评审批权限的工作人员可以在线阅读</w:t>
      </w:r>
      <w:r>
        <w:rPr>
          <w:rFonts w:hint="default" w:ascii="Times New Roman" w:hAnsi="Times New Roman" w:eastAsia="仿宋_GB2312" w:cs="Times New Roman"/>
          <w:b w:val="0"/>
          <w:i w:val="0"/>
          <w:caps w:val="0"/>
          <w:color w:val="auto"/>
          <w:spacing w:val="0"/>
          <w:sz w:val="32"/>
          <w:szCs w:val="32"/>
          <w:shd w:val="clear" w:color="auto" w:fill="FFFFFF"/>
          <w:lang w:eastAsia="zh-CN"/>
        </w:rPr>
        <w:t>申报</w:t>
      </w:r>
      <w:r>
        <w:rPr>
          <w:rFonts w:hint="default" w:ascii="Times New Roman" w:hAnsi="Times New Roman" w:eastAsia="仿宋_GB2312" w:cs="Times New Roman"/>
          <w:b w:val="0"/>
          <w:i w:val="0"/>
          <w:caps w:val="0"/>
          <w:color w:val="auto"/>
          <w:spacing w:val="0"/>
          <w:sz w:val="32"/>
          <w:szCs w:val="32"/>
          <w:shd w:val="clear" w:color="auto" w:fill="FFFFFF"/>
        </w:rPr>
        <w:t>产品的电子注册申报资料，实现随时调阅、同步查看、批量预览、备注标记等功能，并全程留痕。</w:t>
      </w:r>
      <w:r>
        <w:rPr>
          <w:rFonts w:hint="default" w:ascii="Times New Roman" w:hAnsi="Times New Roman" w:eastAsia="仿宋_GB2312" w:cs="Times New Roman"/>
          <w:b w:val="0"/>
          <w:i w:val="0"/>
          <w:caps w:val="0"/>
          <w:color w:val="auto"/>
          <w:spacing w:val="0"/>
          <w:sz w:val="32"/>
          <w:szCs w:val="32"/>
          <w:u w:val="none"/>
          <w:shd w:val="clear" w:color="auto" w:fill="FFFFFF"/>
        </w:rPr>
        <w:t>审评人员查阅电子版资料后，对于需要补充申请资料的，出具电子版补</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充</w:t>
      </w:r>
      <w:r>
        <w:rPr>
          <w:rFonts w:hint="default" w:ascii="Times New Roman" w:hAnsi="Times New Roman" w:eastAsia="仿宋_GB2312" w:cs="Times New Roman"/>
          <w:b w:val="0"/>
          <w:i w:val="0"/>
          <w:caps w:val="0"/>
          <w:color w:val="auto"/>
          <w:spacing w:val="0"/>
          <w:sz w:val="32"/>
          <w:szCs w:val="32"/>
          <w:u w:val="none"/>
          <w:shd w:val="clear" w:color="auto" w:fill="FFFFFF"/>
        </w:rPr>
        <w:t>资料通知</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书</w:t>
      </w:r>
      <w:r>
        <w:rPr>
          <w:rFonts w:hint="default" w:ascii="Times New Roman" w:hAnsi="Times New Roman" w:eastAsia="仿宋_GB2312" w:cs="Times New Roman"/>
          <w:b w:val="0"/>
          <w:i w:val="0"/>
          <w:caps w:val="0"/>
          <w:color w:val="auto"/>
          <w:spacing w:val="0"/>
          <w:sz w:val="32"/>
          <w:szCs w:val="32"/>
          <w:u w:val="none"/>
          <w:shd w:val="clear" w:color="auto" w:fill="FFFFFF"/>
        </w:rPr>
        <w:t>，</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电子申报子系统</w:t>
      </w:r>
      <w:r>
        <w:rPr>
          <w:rFonts w:hint="default" w:ascii="Times New Roman" w:hAnsi="Times New Roman" w:eastAsia="仿宋_GB2312" w:cs="Times New Roman"/>
          <w:b w:val="0"/>
          <w:i w:val="0"/>
          <w:caps w:val="0"/>
          <w:color w:val="auto"/>
          <w:spacing w:val="0"/>
          <w:sz w:val="32"/>
          <w:szCs w:val="32"/>
          <w:u w:val="none"/>
          <w:shd w:val="clear" w:color="auto" w:fill="FFFFFF"/>
        </w:rPr>
        <w:t>自动向注册申请人发送短信提醒，提示产品处于发出补</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充</w:t>
      </w:r>
      <w:r>
        <w:rPr>
          <w:rFonts w:hint="default" w:ascii="Times New Roman" w:hAnsi="Times New Roman" w:eastAsia="仿宋_GB2312" w:cs="Times New Roman"/>
          <w:b w:val="0"/>
          <w:i w:val="0"/>
          <w:caps w:val="0"/>
          <w:color w:val="auto"/>
          <w:spacing w:val="0"/>
          <w:sz w:val="32"/>
          <w:szCs w:val="32"/>
          <w:u w:val="none"/>
          <w:shd w:val="clear" w:color="auto" w:fill="FFFFFF"/>
        </w:rPr>
        <w:t>通知状态。</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u w:val="none"/>
          <w:shd w:val="clear" w:color="auto" w:fill="FFFFFF"/>
        </w:rPr>
      </w:pPr>
      <w:r>
        <w:rPr>
          <w:rFonts w:hint="default" w:ascii="Times New Roman" w:hAnsi="Times New Roman" w:eastAsia="楷体_GB2312" w:cs="Times New Roman"/>
          <w:b w:val="0"/>
          <w:i w:val="0"/>
          <w:caps w:val="0"/>
          <w:color w:val="auto"/>
          <w:spacing w:val="0"/>
          <w:sz w:val="32"/>
          <w:szCs w:val="32"/>
          <w:u w:val="none"/>
          <w:shd w:val="clear" w:color="auto" w:fill="FFFFFF"/>
        </w:rPr>
        <w:t>（</w:t>
      </w:r>
      <w:r>
        <w:rPr>
          <w:rFonts w:hint="eastAsia" w:ascii="Times New Roman" w:hAnsi="Times New Roman" w:eastAsia="楷体_GB2312" w:cs="Times New Roman"/>
          <w:b w:val="0"/>
          <w:i w:val="0"/>
          <w:caps w:val="0"/>
          <w:color w:val="auto"/>
          <w:spacing w:val="0"/>
          <w:sz w:val="32"/>
          <w:szCs w:val="32"/>
          <w:u w:val="none"/>
          <w:shd w:val="clear" w:color="auto" w:fill="FFFFFF"/>
          <w:lang w:eastAsia="zh-CN"/>
        </w:rPr>
        <w:t>七）</w:t>
      </w:r>
      <w:r>
        <w:rPr>
          <w:rFonts w:hint="default" w:ascii="Times New Roman" w:hAnsi="Times New Roman" w:eastAsia="楷体_GB2312" w:cs="Times New Roman"/>
          <w:b w:val="0"/>
          <w:i w:val="0"/>
          <w:caps w:val="0"/>
          <w:color w:val="auto"/>
          <w:spacing w:val="0"/>
          <w:sz w:val="32"/>
          <w:szCs w:val="32"/>
          <w:u w:val="none"/>
          <w:shd w:val="clear" w:color="auto" w:fill="FFFFFF"/>
        </w:rPr>
        <w:t>提交技术审评补</w:t>
      </w:r>
      <w:r>
        <w:rPr>
          <w:rFonts w:hint="default" w:ascii="Times New Roman" w:hAnsi="Times New Roman" w:eastAsia="楷体_GB2312" w:cs="Times New Roman"/>
          <w:b w:val="0"/>
          <w:i w:val="0"/>
          <w:caps w:val="0"/>
          <w:color w:val="auto"/>
          <w:spacing w:val="0"/>
          <w:sz w:val="32"/>
          <w:szCs w:val="32"/>
          <w:u w:val="none"/>
          <w:shd w:val="clear" w:color="auto" w:fill="FFFFFF"/>
          <w:lang w:eastAsia="zh-CN"/>
        </w:rPr>
        <w:t>充</w:t>
      </w:r>
      <w:r>
        <w:rPr>
          <w:rFonts w:hint="default" w:ascii="Times New Roman" w:hAnsi="Times New Roman" w:eastAsia="楷体_GB2312" w:cs="Times New Roman"/>
          <w:b w:val="0"/>
          <w:i w:val="0"/>
          <w:caps w:val="0"/>
          <w:color w:val="auto"/>
          <w:spacing w:val="0"/>
          <w:sz w:val="32"/>
          <w:szCs w:val="32"/>
          <w:u w:val="none"/>
          <w:shd w:val="clear" w:color="auto" w:fill="FFFFFF"/>
        </w:rPr>
        <w:t>资料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shd w:val="clear" w:color="auto" w:fill="FFFFFF"/>
        </w:rPr>
      </w:pPr>
      <w:r>
        <w:rPr>
          <w:rFonts w:hint="default" w:ascii="Times New Roman" w:hAnsi="Times New Roman" w:eastAsia="仿宋_GB2312" w:cs="Times New Roman"/>
          <w:b w:val="0"/>
          <w:i w:val="0"/>
          <w:caps w:val="0"/>
          <w:color w:val="auto"/>
          <w:spacing w:val="0"/>
          <w:sz w:val="32"/>
          <w:szCs w:val="32"/>
          <w:u w:val="none"/>
          <w:shd w:val="clear" w:color="auto" w:fill="FFFFFF"/>
        </w:rPr>
        <w:t>注册申请人在接收到补</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充</w:t>
      </w:r>
      <w:r>
        <w:rPr>
          <w:rFonts w:hint="default" w:ascii="Times New Roman" w:hAnsi="Times New Roman" w:eastAsia="仿宋_GB2312" w:cs="Times New Roman"/>
          <w:b w:val="0"/>
          <w:i w:val="0"/>
          <w:caps w:val="0"/>
          <w:color w:val="auto"/>
          <w:spacing w:val="0"/>
          <w:sz w:val="32"/>
          <w:szCs w:val="32"/>
          <w:u w:val="none"/>
          <w:shd w:val="clear" w:color="auto" w:fill="FFFFFF"/>
        </w:rPr>
        <w:t>资料通知</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书</w:t>
      </w:r>
      <w:r>
        <w:rPr>
          <w:rFonts w:hint="default" w:ascii="Times New Roman" w:hAnsi="Times New Roman" w:eastAsia="仿宋_GB2312" w:cs="Times New Roman"/>
          <w:b w:val="0"/>
          <w:i w:val="0"/>
          <w:caps w:val="0"/>
          <w:color w:val="auto"/>
          <w:spacing w:val="0"/>
          <w:sz w:val="32"/>
          <w:szCs w:val="32"/>
          <w:u w:val="none"/>
          <w:shd w:val="clear" w:color="auto" w:fill="FFFFFF"/>
        </w:rPr>
        <w:t>后，应按照通知要求准备相应的补</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充</w:t>
      </w:r>
      <w:r>
        <w:rPr>
          <w:rFonts w:hint="default" w:ascii="Times New Roman" w:hAnsi="Times New Roman" w:eastAsia="仿宋_GB2312" w:cs="Times New Roman"/>
          <w:b w:val="0"/>
          <w:i w:val="0"/>
          <w:caps w:val="0"/>
          <w:color w:val="auto"/>
          <w:spacing w:val="0"/>
          <w:sz w:val="32"/>
          <w:szCs w:val="32"/>
          <w:u w:val="none"/>
          <w:shd w:val="clear" w:color="auto" w:fill="FFFFFF"/>
        </w:rPr>
        <w:t>资料，并于接收到通知</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书</w:t>
      </w:r>
      <w:r>
        <w:rPr>
          <w:rFonts w:hint="default" w:ascii="Times New Roman" w:hAnsi="Times New Roman" w:eastAsia="仿宋_GB2312" w:cs="Times New Roman"/>
          <w:b w:val="0"/>
          <w:i w:val="0"/>
          <w:caps w:val="0"/>
          <w:color w:val="auto"/>
          <w:spacing w:val="0"/>
          <w:sz w:val="32"/>
          <w:szCs w:val="32"/>
          <w:u w:val="none"/>
          <w:shd w:val="clear" w:color="auto" w:fill="FFFFFF"/>
        </w:rPr>
        <w:t>一年内在</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电子申报子系统</w:t>
      </w:r>
      <w:r>
        <w:rPr>
          <w:rFonts w:hint="eastAsia" w:ascii="Times New Roman" w:hAnsi="Times New Roman" w:eastAsia="仿宋_GB2312" w:cs="Times New Roman"/>
          <w:b w:val="0"/>
          <w:i w:val="0"/>
          <w:caps w:val="0"/>
          <w:color w:val="auto"/>
          <w:spacing w:val="0"/>
          <w:sz w:val="32"/>
          <w:szCs w:val="32"/>
          <w:u w:val="none"/>
          <w:shd w:val="clear" w:color="auto" w:fill="FFFFFF"/>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rPr>
        <w:t>资料补</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充</w:t>
      </w:r>
      <w:r>
        <w:rPr>
          <w:rFonts w:hint="eastAsia" w:ascii="Times New Roman" w:hAnsi="Times New Roman" w:eastAsia="仿宋_GB2312" w:cs="Times New Roman"/>
          <w:b w:val="0"/>
          <w:i w:val="0"/>
          <w:caps w:val="0"/>
          <w:color w:val="auto"/>
          <w:spacing w:val="0"/>
          <w:sz w:val="32"/>
          <w:szCs w:val="32"/>
          <w:u w:val="none"/>
          <w:shd w:val="clear" w:color="auto" w:fill="FFFFFF"/>
          <w:lang w:eastAsia="zh-CN"/>
        </w:rPr>
        <w:t>”</w:t>
      </w:r>
      <w:r>
        <w:rPr>
          <w:rFonts w:hint="default" w:ascii="Times New Roman" w:hAnsi="Times New Roman" w:eastAsia="仿宋_GB2312" w:cs="Times New Roman"/>
          <w:b w:val="0"/>
          <w:i w:val="0"/>
          <w:caps w:val="0"/>
          <w:color w:val="auto"/>
          <w:spacing w:val="0"/>
          <w:sz w:val="32"/>
          <w:szCs w:val="32"/>
          <w:u w:val="none"/>
          <w:shd w:val="clear" w:color="auto" w:fill="FFFFFF"/>
        </w:rPr>
        <w:t>模块上传电子版补</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充</w:t>
      </w:r>
      <w:r>
        <w:rPr>
          <w:rFonts w:hint="default" w:ascii="Times New Roman" w:hAnsi="Times New Roman" w:eastAsia="仿宋_GB2312" w:cs="Times New Roman"/>
          <w:b w:val="0"/>
          <w:i w:val="0"/>
          <w:caps w:val="0"/>
          <w:color w:val="auto"/>
          <w:spacing w:val="0"/>
          <w:sz w:val="32"/>
          <w:szCs w:val="32"/>
          <w:u w:val="none"/>
          <w:shd w:val="clear" w:color="auto" w:fill="FFFFFF"/>
        </w:rPr>
        <w:t>资料及其他要求资料。注册申请人通</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过电子申报子系统</w:t>
      </w:r>
      <w:r>
        <w:rPr>
          <w:rFonts w:hint="default" w:ascii="Times New Roman" w:hAnsi="Times New Roman" w:eastAsia="仿宋_GB2312" w:cs="Times New Roman"/>
          <w:b w:val="0"/>
          <w:i w:val="0"/>
          <w:caps w:val="0"/>
          <w:color w:val="auto"/>
          <w:spacing w:val="0"/>
          <w:sz w:val="32"/>
          <w:szCs w:val="32"/>
          <w:u w:val="none"/>
          <w:shd w:val="clear" w:color="auto" w:fill="FFFFFF"/>
        </w:rPr>
        <w:t>正式提交补</w:t>
      </w:r>
      <w:r>
        <w:rPr>
          <w:rFonts w:hint="default" w:ascii="Times New Roman" w:hAnsi="Times New Roman" w:eastAsia="仿宋_GB2312" w:cs="Times New Roman"/>
          <w:b w:val="0"/>
          <w:i w:val="0"/>
          <w:caps w:val="0"/>
          <w:color w:val="auto"/>
          <w:spacing w:val="0"/>
          <w:sz w:val="32"/>
          <w:szCs w:val="32"/>
          <w:u w:val="none"/>
          <w:shd w:val="clear" w:color="auto" w:fill="FFFFFF"/>
          <w:lang w:eastAsia="zh-CN"/>
        </w:rPr>
        <w:t>充</w:t>
      </w:r>
      <w:r>
        <w:rPr>
          <w:rFonts w:hint="default" w:ascii="Times New Roman" w:hAnsi="Times New Roman" w:eastAsia="仿宋_GB2312" w:cs="Times New Roman"/>
          <w:b w:val="0"/>
          <w:i w:val="0"/>
          <w:caps w:val="0"/>
          <w:color w:val="auto"/>
          <w:spacing w:val="0"/>
          <w:sz w:val="32"/>
          <w:szCs w:val="32"/>
          <w:u w:val="none"/>
          <w:shd w:val="clear" w:color="auto" w:fill="FFFFFF"/>
        </w:rPr>
        <w:t>资料，</w:t>
      </w:r>
      <w:r>
        <w:rPr>
          <w:rFonts w:hint="default" w:ascii="Times New Roman" w:hAnsi="Times New Roman" w:eastAsia="仿宋_GB2312" w:cs="Times New Roman"/>
          <w:b w:val="0"/>
          <w:i w:val="0"/>
          <w:caps w:val="0"/>
          <w:color w:val="auto"/>
          <w:spacing w:val="0"/>
          <w:sz w:val="32"/>
          <w:szCs w:val="32"/>
          <w:u w:val="none"/>
          <w:shd w:val="clear" w:color="auto" w:fill="FFFFFF"/>
          <w:lang w:val="en-US" w:eastAsia="zh-CN"/>
        </w:rPr>
        <w:t>提交完成，不能进行撤回及二次补充，</w:t>
      </w:r>
      <w:r>
        <w:rPr>
          <w:rFonts w:hint="default" w:ascii="Times New Roman" w:hAnsi="Times New Roman" w:eastAsia="仿宋_GB2312" w:cs="Times New Roman"/>
          <w:b w:val="0"/>
          <w:i w:val="0"/>
          <w:caps w:val="0"/>
          <w:color w:val="auto"/>
          <w:spacing w:val="0"/>
          <w:sz w:val="32"/>
          <w:szCs w:val="32"/>
          <w:u w:val="none"/>
          <w:shd w:val="clear" w:color="auto" w:fill="FFFFFF"/>
        </w:rPr>
        <w:t>申报项目进入</w:t>
      </w:r>
      <w:r>
        <w:rPr>
          <w:rFonts w:hint="default" w:ascii="Times New Roman" w:hAnsi="Times New Roman" w:eastAsia="仿宋_GB2312" w:cs="Times New Roman"/>
          <w:b w:val="0"/>
          <w:i w:val="0"/>
          <w:caps w:val="0"/>
          <w:color w:val="auto"/>
          <w:spacing w:val="0"/>
          <w:sz w:val="32"/>
          <w:szCs w:val="32"/>
          <w:u w:val="none"/>
          <w:shd w:val="clear" w:color="auto" w:fill="FFFFFF"/>
          <w:lang w:val="en-US" w:eastAsia="zh-CN"/>
        </w:rPr>
        <w:t>资料</w:t>
      </w:r>
      <w:r>
        <w:rPr>
          <w:rFonts w:hint="default" w:ascii="Times New Roman" w:hAnsi="Times New Roman" w:eastAsia="仿宋_GB2312" w:cs="Times New Roman"/>
          <w:b w:val="0"/>
          <w:i w:val="0"/>
          <w:caps w:val="0"/>
          <w:color w:val="auto"/>
          <w:spacing w:val="0"/>
          <w:sz w:val="32"/>
          <w:szCs w:val="32"/>
          <w:u w:val="none"/>
          <w:shd w:val="clear" w:color="auto" w:fill="FFFFFF"/>
        </w:rPr>
        <w:t>补</w:t>
      </w:r>
      <w:r>
        <w:rPr>
          <w:rFonts w:hint="default" w:ascii="Times New Roman" w:hAnsi="Times New Roman" w:eastAsia="仿宋_GB2312" w:cs="Times New Roman"/>
          <w:b w:val="0"/>
          <w:i w:val="0"/>
          <w:caps w:val="0"/>
          <w:color w:val="auto"/>
          <w:spacing w:val="0"/>
          <w:sz w:val="32"/>
          <w:szCs w:val="32"/>
          <w:u w:val="none"/>
          <w:shd w:val="clear" w:color="auto" w:fill="FFFFFF"/>
          <w:lang w:val="en-US" w:eastAsia="zh-CN"/>
        </w:rPr>
        <w:t>充</w:t>
      </w:r>
      <w:r>
        <w:rPr>
          <w:rFonts w:hint="default" w:ascii="Times New Roman" w:hAnsi="Times New Roman" w:eastAsia="仿宋_GB2312" w:cs="Times New Roman"/>
          <w:b w:val="0"/>
          <w:i w:val="0"/>
          <w:caps w:val="0"/>
          <w:color w:val="auto"/>
          <w:spacing w:val="0"/>
          <w:sz w:val="32"/>
          <w:szCs w:val="32"/>
          <w:u w:val="none"/>
          <w:shd w:val="clear" w:color="auto" w:fill="FFFFFF"/>
        </w:rPr>
        <w:t>后技术</w:t>
      </w:r>
      <w:r>
        <w:rPr>
          <w:rFonts w:hint="default" w:ascii="Times New Roman" w:hAnsi="Times New Roman" w:eastAsia="仿宋_GB2312" w:cs="Times New Roman"/>
          <w:b w:val="0"/>
          <w:i w:val="0"/>
          <w:caps w:val="0"/>
          <w:color w:val="auto"/>
          <w:spacing w:val="0"/>
          <w:sz w:val="32"/>
          <w:szCs w:val="32"/>
          <w:shd w:val="clear" w:color="auto" w:fill="FFFFFF"/>
        </w:rPr>
        <w:t>审评阶段。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eastAsia="楷体_GB2312" w:cs="Times New Roman"/>
          <w:b w:val="0"/>
          <w:i w:val="0"/>
          <w:caps w:val="0"/>
          <w:color w:val="auto"/>
          <w:spacing w:val="0"/>
          <w:sz w:val="32"/>
          <w:szCs w:val="32"/>
          <w:shd w:val="clear" w:color="auto" w:fill="FFFFFF"/>
        </w:rPr>
      </w:pPr>
      <w:r>
        <w:rPr>
          <w:rFonts w:hint="eastAsia" w:ascii="Times New Roman" w:hAnsi="Times New Roman" w:eastAsia="楷体_GB2312" w:cs="Times New Roman"/>
          <w:b w:val="0"/>
          <w:i w:val="0"/>
          <w:caps w:val="0"/>
          <w:color w:val="auto"/>
          <w:spacing w:val="0"/>
          <w:sz w:val="32"/>
          <w:szCs w:val="32"/>
          <w:shd w:val="clear" w:color="auto" w:fill="FFFFFF"/>
          <w:lang w:eastAsia="zh-CN"/>
        </w:rPr>
        <w:t>（八）</w:t>
      </w:r>
      <w:r>
        <w:rPr>
          <w:rFonts w:hint="default" w:ascii="Times New Roman" w:hAnsi="Times New Roman" w:eastAsia="楷体_GB2312" w:cs="Times New Roman"/>
          <w:b w:val="0"/>
          <w:i w:val="0"/>
          <w:caps w:val="0"/>
          <w:color w:val="auto"/>
          <w:spacing w:val="0"/>
          <w:sz w:val="32"/>
          <w:szCs w:val="32"/>
          <w:shd w:val="clear" w:color="auto" w:fill="FFFFFF"/>
        </w:rPr>
        <w:t>查看审评审批进度</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default" w:ascii="Times New Roman" w:hAnsi="Times New Roman" w:eastAsia="仿宋_GB2312" w:cs="Times New Roman"/>
          <w:b w:val="0"/>
          <w:i w:val="0"/>
          <w:caps w:val="0"/>
          <w:color w:val="auto"/>
          <w:spacing w:val="0"/>
          <w:sz w:val="32"/>
          <w:szCs w:val="32"/>
          <w:shd w:val="clear" w:color="auto" w:fill="FFFFFF"/>
        </w:rPr>
      </w:pPr>
      <w:r>
        <w:rPr>
          <w:rFonts w:hint="default" w:ascii="Times New Roman" w:hAnsi="Times New Roman" w:eastAsia="仿宋_GB2312" w:cs="Times New Roman"/>
          <w:b w:val="0"/>
          <w:i w:val="0"/>
          <w:caps w:val="0"/>
          <w:color w:val="auto"/>
          <w:spacing w:val="0"/>
          <w:sz w:val="32"/>
          <w:szCs w:val="32"/>
          <w:shd w:val="clear" w:color="auto" w:fill="FFFFFF"/>
        </w:rPr>
        <w:t>注册申请人在注册申报过程中，可登录</w:t>
      </w:r>
      <w:r>
        <w:rPr>
          <w:rFonts w:hint="default" w:ascii="Times New Roman" w:hAnsi="Times New Roman" w:eastAsia="仿宋_GB2312" w:cs="Times New Roman"/>
          <w:b w:val="0"/>
          <w:i w:val="0"/>
          <w:caps w:val="0"/>
          <w:color w:val="auto"/>
          <w:spacing w:val="0"/>
          <w:sz w:val="32"/>
          <w:szCs w:val="32"/>
          <w:shd w:val="clear" w:color="auto" w:fill="FFFFFF"/>
          <w:lang w:eastAsia="zh-CN"/>
        </w:rPr>
        <w:t>电子申报子系统</w:t>
      </w:r>
      <w:r>
        <w:rPr>
          <w:rFonts w:hint="default" w:ascii="Times New Roman" w:hAnsi="Times New Roman" w:eastAsia="仿宋_GB2312" w:cs="Times New Roman"/>
          <w:b w:val="0"/>
          <w:i w:val="0"/>
          <w:caps w:val="0"/>
          <w:color w:val="auto"/>
          <w:spacing w:val="0"/>
          <w:sz w:val="32"/>
          <w:szCs w:val="32"/>
          <w:shd w:val="clear" w:color="auto" w:fill="FFFFFF"/>
        </w:rPr>
        <w:t>查询审评审批进度和有关的电子文书。</w:t>
      </w:r>
    </w:p>
    <w:p>
      <w:pPr>
        <w:keepNext w:val="0"/>
        <w:keepLines w:val="0"/>
        <w:pageBreakBefore w:val="0"/>
        <w:kinsoku/>
        <w:wordWrap/>
        <w:overflowPunct w:val="0"/>
        <w:topLinePunct w:val="0"/>
        <w:autoSpaceDE/>
        <w:autoSpaceDN/>
        <w:bidi w:val="0"/>
        <w:adjustRightInd w:val="0"/>
        <w:snapToGrid w:val="0"/>
        <w:spacing w:line="560" w:lineRule="exact"/>
        <w:ind w:firstLine="624"/>
        <w:outlineLvl w:val="9"/>
        <w:rPr>
          <w:rFonts w:hint="eastAsia" w:ascii="仿宋_GB2312" w:hAnsi="仿宋" w:eastAsia="仿宋_GB2312" w:cs="宋体"/>
          <w:sz w:val="32"/>
          <w:szCs w:val="32"/>
        </w:rPr>
      </w:pPr>
    </w:p>
    <w:p>
      <w:pPr>
        <w:widowControl/>
        <w:spacing w:line="540" w:lineRule="exact"/>
        <w:jc w:val="center"/>
        <w:rPr>
          <w:rFonts w:hint="eastAsia" w:ascii="仿宋_GB2312" w:hAnsi="仿宋_GB2312" w:eastAsia="仿宋_GB2312" w:cs="仿宋_GB2312"/>
          <w:color w:val="auto"/>
          <w:sz w:val="32"/>
          <w:szCs w:val="32"/>
          <w:lang w:val="zh-CN"/>
        </w:rPr>
        <w:sectPr>
          <w:footerReference r:id="rId3" w:type="default"/>
          <w:pgSz w:w="11906" w:h="16838"/>
          <w:pgMar w:top="1587" w:right="1474" w:bottom="1474" w:left="1474" w:header="851" w:footer="992" w:gutter="0"/>
          <w:paperSrc/>
          <w:pgNumType w:fmt="numberInDash" w:start="2"/>
          <w:cols w:space="720" w:num="1"/>
          <w:rtlGutter w:val="0"/>
          <w:docGrid w:type="lines" w:linePitch="312" w:charSpace="0"/>
        </w:sectPr>
      </w:pPr>
      <w:r>
        <w:rPr>
          <w:rFonts w:hint="eastAsia" w:ascii="仿宋_GB2312" w:hAnsi="仿宋_GB2312" w:eastAsia="仿宋_GB2312" w:cs="仿宋_GB2312"/>
          <w:sz w:val="32"/>
          <w:szCs w:val="32"/>
        </w:rPr>
        <w:t>附录：</w:t>
      </w:r>
      <w:r>
        <w:rPr>
          <w:rFonts w:hint="eastAsia" w:ascii="仿宋_GB2312" w:hAnsi="仿宋_GB2312" w:eastAsia="仿宋_GB2312" w:cs="仿宋_GB2312"/>
          <w:color w:val="auto"/>
          <w:sz w:val="32"/>
          <w:szCs w:val="32"/>
          <w:lang w:val="zh-CN"/>
        </w:rPr>
        <w:t>医疗器械注册电子申报子系统电子申报目录表</w:t>
      </w:r>
    </w:p>
    <w:p>
      <w:pPr>
        <w:spacing w:line="540" w:lineRule="exact"/>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附录</w:t>
      </w:r>
    </w:p>
    <w:p>
      <w:pPr>
        <w:widowControl/>
        <w:spacing w:line="540" w:lineRule="exact"/>
        <w:jc w:val="left"/>
        <w:rPr>
          <w:rFonts w:ascii="黑体" w:hAnsi="黑体" w:eastAsia="黑体"/>
          <w:color w:val="auto"/>
          <w:sz w:val="32"/>
          <w:lang w:val="zh-CN"/>
        </w:rPr>
      </w:pPr>
    </w:p>
    <w:p>
      <w:pPr>
        <w:widowControl/>
        <w:spacing w:line="540" w:lineRule="exact"/>
        <w:jc w:val="left"/>
        <w:rPr>
          <w:rFonts w:ascii="方正小标宋简体" w:eastAsia="方正小标宋简体"/>
          <w:color w:val="auto"/>
          <w:sz w:val="44"/>
          <w:szCs w:val="32"/>
          <w:lang w:val="zh-CN"/>
        </w:rPr>
      </w:pPr>
    </w:p>
    <w:p>
      <w:pPr>
        <w:widowControl/>
        <w:spacing w:line="540" w:lineRule="exact"/>
        <w:jc w:val="center"/>
        <w:rPr>
          <w:rFonts w:ascii="方正小标宋简体" w:eastAsia="方正小标宋简体"/>
          <w:color w:val="auto"/>
          <w:sz w:val="44"/>
          <w:szCs w:val="32"/>
          <w:lang w:val="zh-CN"/>
        </w:rPr>
      </w:pPr>
      <w:r>
        <w:rPr>
          <w:rFonts w:hint="eastAsia" w:ascii="方正小标宋简体" w:eastAsia="方正小标宋简体"/>
          <w:color w:val="auto"/>
          <w:sz w:val="44"/>
          <w:szCs w:val="32"/>
          <w:lang w:val="zh-CN"/>
        </w:rPr>
        <w:t>医疗器械注册电子申报子系统</w:t>
      </w:r>
    </w:p>
    <w:p>
      <w:pPr>
        <w:widowControl/>
        <w:spacing w:line="540" w:lineRule="exact"/>
        <w:jc w:val="center"/>
        <w:rPr>
          <w:rFonts w:ascii="方正小标宋简体" w:eastAsia="方正小标宋简体"/>
          <w:color w:val="auto"/>
          <w:sz w:val="44"/>
          <w:szCs w:val="32"/>
          <w:lang w:val="zh-CN"/>
        </w:rPr>
      </w:pPr>
      <w:r>
        <w:rPr>
          <w:rFonts w:hint="eastAsia" w:ascii="方正小标宋简体" w:eastAsia="方正小标宋简体"/>
          <w:color w:val="auto"/>
          <w:sz w:val="44"/>
          <w:szCs w:val="32"/>
          <w:lang w:val="zh-CN"/>
        </w:rPr>
        <w:t>电子申报目录表</w:t>
      </w:r>
    </w:p>
    <w:p>
      <w:pPr>
        <w:widowControl/>
        <w:spacing w:line="540" w:lineRule="exact"/>
        <w:jc w:val="left"/>
        <w:rPr>
          <w:rFonts w:eastAsia="方正小标宋简体"/>
          <w:color w:val="auto"/>
          <w:sz w:val="40"/>
          <w:szCs w:val="32"/>
          <w:lang w:val="zh-CN"/>
        </w:rPr>
      </w:pPr>
    </w:p>
    <w:p>
      <w:pPr>
        <w:widowControl/>
        <w:spacing w:line="540" w:lineRule="exact"/>
        <w:jc w:val="left"/>
        <w:rPr>
          <w:rFonts w:eastAsia="仿宋_GB2312"/>
          <w:color w:val="auto"/>
          <w:sz w:val="32"/>
          <w:szCs w:val="32"/>
        </w:rPr>
      </w:pPr>
      <w:r>
        <w:rPr>
          <w:rFonts w:eastAsia="仿宋_GB2312"/>
          <w:color w:val="auto"/>
          <w:sz w:val="32"/>
          <w:szCs w:val="32"/>
        </w:rPr>
        <w:fldChar w:fldCharType="begin" w:fldLock="1"/>
      </w:r>
      <w:r>
        <w:rPr>
          <w:rFonts w:eastAsia="仿宋_GB2312"/>
          <w:color w:val="auto"/>
          <w:sz w:val="32"/>
          <w:szCs w:val="32"/>
        </w:rPr>
        <w:instrText xml:space="preserve"> TOC \o "1-3" \h \z \u </w:instrText>
      </w:r>
      <w:r>
        <w:rPr>
          <w:rFonts w:eastAsia="仿宋_GB2312"/>
          <w:color w:val="auto"/>
          <w:sz w:val="32"/>
          <w:szCs w:val="32"/>
        </w:rPr>
        <w:fldChar w:fldCharType="separate"/>
      </w:r>
      <w:r>
        <w:rPr>
          <w:rFonts w:eastAsia="仿宋_GB2312"/>
          <w:color w:val="auto"/>
          <w:sz w:val="32"/>
          <w:szCs w:val="32"/>
        </w:rPr>
        <w:t>一、</w:t>
      </w:r>
      <w:r>
        <w:rPr>
          <w:rFonts w:hint="eastAsia" w:eastAsia="仿宋_GB2312"/>
          <w:color w:val="auto"/>
          <w:sz w:val="32"/>
          <w:szCs w:val="32"/>
        </w:rPr>
        <w:t>湖南省</w:t>
      </w:r>
      <w:r>
        <w:rPr>
          <w:rFonts w:eastAsia="仿宋_GB2312"/>
          <w:color w:val="auto"/>
          <w:sz w:val="32"/>
          <w:szCs w:val="32"/>
        </w:rPr>
        <w:t>第</w:t>
      </w:r>
      <w:r>
        <w:rPr>
          <w:rFonts w:hint="eastAsia" w:eastAsia="仿宋_GB2312"/>
          <w:color w:val="auto"/>
          <w:sz w:val="32"/>
          <w:szCs w:val="32"/>
        </w:rPr>
        <w:t>二</w:t>
      </w:r>
      <w:r>
        <w:rPr>
          <w:rFonts w:eastAsia="仿宋_GB2312"/>
          <w:color w:val="auto"/>
          <w:sz w:val="32"/>
          <w:szCs w:val="32"/>
        </w:rPr>
        <w:t>类医疗器械</w:t>
      </w:r>
      <w:r>
        <w:rPr>
          <w:rFonts w:hint="eastAsia" w:eastAsia="仿宋_GB2312"/>
          <w:color w:val="auto"/>
          <w:sz w:val="32"/>
          <w:szCs w:val="32"/>
          <w:lang w:eastAsia="zh-CN"/>
        </w:rPr>
        <w:t>首次</w:t>
      </w:r>
      <w:r>
        <w:rPr>
          <w:rFonts w:eastAsia="仿宋_GB2312"/>
          <w:color w:val="auto"/>
          <w:sz w:val="32"/>
          <w:szCs w:val="32"/>
        </w:rPr>
        <w:t>注册申报资料电子目录</w:t>
      </w:r>
      <w:r>
        <w:rPr>
          <w:rFonts w:eastAsia="仿宋_GB2312"/>
          <w:color w:val="auto"/>
          <w:sz w:val="32"/>
          <w:szCs w:val="32"/>
        </w:rPr>
        <w:tab/>
      </w:r>
    </w:p>
    <w:p>
      <w:pPr>
        <w:widowControl/>
        <w:spacing w:line="540" w:lineRule="exact"/>
        <w:jc w:val="left"/>
        <w:rPr>
          <w:rFonts w:eastAsia="仿宋_GB2312"/>
          <w:color w:val="auto"/>
          <w:sz w:val="32"/>
          <w:szCs w:val="32"/>
        </w:rPr>
      </w:pPr>
      <w:r>
        <w:rPr>
          <w:rFonts w:eastAsia="仿宋_GB2312"/>
          <w:color w:val="auto"/>
          <w:sz w:val="32"/>
          <w:szCs w:val="32"/>
        </w:rPr>
        <w:t>二、</w:t>
      </w:r>
      <w:r>
        <w:rPr>
          <w:rFonts w:hint="eastAsia" w:eastAsia="仿宋_GB2312"/>
          <w:color w:val="auto"/>
          <w:sz w:val="32"/>
          <w:szCs w:val="32"/>
        </w:rPr>
        <w:t>湖南省</w:t>
      </w:r>
      <w:r>
        <w:rPr>
          <w:rFonts w:eastAsia="仿宋_GB2312"/>
          <w:color w:val="auto"/>
          <w:sz w:val="32"/>
          <w:szCs w:val="32"/>
        </w:rPr>
        <w:t>第</w:t>
      </w:r>
      <w:r>
        <w:rPr>
          <w:rFonts w:hint="eastAsia" w:eastAsia="仿宋_GB2312"/>
          <w:color w:val="auto"/>
          <w:sz w:val="32"/>
          <w:szCs w:val="32"/>
        </w:rPr>
        <w:t>二</w:t>
      </w:r>
      <w:r>
        <w:rPr>
          <w:rFonts w:eastAsia="仿宋_GB2312"/>
          <w:color w:val="auto"/>
          <w:sz w:val="32"/>
          <w:szCs w:val="32"/>
        </w:rPr>
        <w:t>类体外诊断试剂</w:t>
      </w:r>
      <w:r>
        <w:rPr>
          <w:rFonts w:hint="eastAsia" w:eastAsia="仿宋_GB2312"/>
          <w:color w:val="auto"/>
          <w:sz w:val="32"/>
          <w:szCs w:val="32"/>
          <w:lang w:eastAsia="zh-CN"/>
        </w:rPr>
        <w:t>首次</w:t>
      </w:r>
      <w:r>
        <w:rPr>
          <w:rFonts w:eastAsia="仿宋_GB2312"/>
          <w:color w:val="auto"/>
          <w:sz w:val="32"/>
          <w:szCs w:val="32"/>
        </w:rPr>
        <w:t>注册申报资料电子目录</w:t>
      </w:r>
      <w:r>
        <w:rPr>
          <w:rFonts w:eastAsia="仿宋_GB2312"/>
          <w:color w:val="auto"/>
          <w:sz w:val="32"/>
          <w:szCs w:val="32"/>
        </w:rPr>
        <w:tab/>
      </w:r>
    </w:p>
    <w:p>
      <w:pPr>
        <w:widowControl/>
        <w:spacing w:line="540" w:lineRule="exact"/>
        <w:jc w:val="left"/>
        <w:rPr>
          <w:rFonts w:eastAsia="仿宋_GB2312"/>
          <w:color w:val="auto"/>
          <w:sz w:val="32"/>
          <w:szCs w:val="32"/>
        </w:rPr>
      </w:pPr>
      <w:r>
        <w:rPr>
          <w:rFonts w:hint="eastAsia" w:eastAsia="仿宋_GB2312"/>
          <w:color w:val="auto"/>
          <w:sz w:val="32"/>
          <w:szCs w:val="32"/>
        </w:rPr>
        <w:t>三</w:t>
      </w:r>
      <w:r>
        <w:rPr>
          <w:rFonts w:eastAsia="仿宋_GB2312"/>
          <w:color w:val="auto"/>
          <w:sz w:val="32"/>
          <w:szCs w:val="32"/>
        </w:rPr>
        <w:t>、</w:t>
      </w:r>
      <w:r>
        <w:rPr>
          <w:rFonts w:hint="eastAsia" w:eastAsia="仿宋_GB2312"/>
          <w:color w:val="auto"/>
          <w:sz w:val="32"/>
          <w:szCs w:val="32"/>
        </w:rPr>
        <w:t>湖南省</w:t>
      </w:r>
      <w:r>
        <w:rPr>
          <w:rFonts w:eastAsia="仿宋_GB2312"/>
          <w:color w:val="auto"/>
          <w:sz w:val="32"/>
          <w:szCs w:val="32"/>
        </w:rPr>
        <w:t>第</w:t>
      </w:r>
      <w:r>
        <w:rPr>
          <w:rFonts w:hint="eastAsia" w:eastAsia="仿宋_GB2312"/>
          <w:color w:val="auto"/>
          <w:sz w:val="32"/>
          <w:szCs w:val="32"/>
        </w:rPr>
        <w:t>二</w:t>
      </w:r>
      <w:r>
        <w:rPr>
          <w:rFonts w:eastAsia="仿宋_GB2312"/>
          <w:color w:val="auto"/>
          <w:sz w:val="32"/>
          <w:szCs w:val="32"/>
        </w:rPr>
        <w:t>类医疗器械变更</w:t>
      </w:r>
      <w:r>
        <w:rPr>
          <w:rFonts w:hint="eastAsia" w:eastAsia="仿宋_GB2312"/>
          <w:color w:val="auto"/>
          <w:sz w:val="32"/>
          <w:szCs w:val="32"/>
          <w:lang w:eastAsia="zh-CN"/>
        </w:rPr>
        <w:t>注册</w:t>
      </w:r>
      <w:r>
        <w:rPr>
          <w:rFonts w:eastAsia="仿宋_GB2312"/>
          <w:color w:val="auto"/>
          <w:sz w:val="32"/>
          <w:szCs w:val="32"/>
        </w:rPr>
        <w:t>申报资料电子目录</w:t>
      </w:r>
    </w:p>
    <w:p>
      <w:pPr>
        <w:widowControl/>
        <w:spacing w:line="540" w:lineRule="exact"/>
        <w:jc w:val="left"/>
        <w:rPr>
          <w:rFonts w:eastAsia="仿宋_GB2312"/>
          <w:color w:val="auto"/>
          <w:sz w:val="32"/>
          <w:szCs w:val="32"/>
        </w:rPr>
      </w:pPr>
      <w:r>
        <w:rPr>
          <w:rFonts w:hint="eastAsia" w:eastAsia="仿宋_GB2312"/>
          <w:color w:val="auto"/>
          <w:sz w:val="32"/>
          <w:szCs w:val="32"/>
        </w:rPr>
        <w:t>四</w:t>
      </w:r>
      <w:r>
        <w:rPr>
          <w:rFonts w:eastAsia="仿宋_GB2312"/>
          <w:color w:val="auto"/>
          <w:sz w:val="32"/>
          <w:szCs w:val="32"/>
        </w:rPr>
        <w:t>、</w:t>
      </w:r>
      <w:r>
        <w:rPr>
          <w:rFonts w:hint="eastAsia" w:eastAsia="仿宋_GB2312"/>
          <w:color w:val="auto"/>
          <w:sz w:val="32"/>
          <w:szCs w:val="32"/>
        </w:rPr>
        <w:t>湖南省</w:t>
      </w:r>
      <w:r>
        <w:rPr>
          <w:rFonts w:eastAsia="仿宋_GB2312"/>
          <w:color w:val="auto"/>
          <w:sz w:val="32"/>
          <w:szCs w:val="32"/>
        </w:rPr>
        <w:t>第</w:t>
      </w:r>
      <w:r>
        <w:rPr>
          <w:rFonts w:hint="eastAsia" w:eastAsia="仿宋_GB2312"/>
          <w:color w:val="auto"/>
          <w:sz w:val="32"/>
          <w:szCs w:val="32"/>
        </w:rPr>
        <w:t>二</w:t>
      </w:r>
      <w:r>
        <w:rPr>
          <w:rFonts w:eastAsia="仿宋_GB2312"/>
          <w:color w:val="auto"/>
          <w:sz w:val="32"/>
          <w:szCs w:val="32"/>
        </w:rPr>
        <w:t>类体外诊断试剂变更</w:t>
      </w:r>
      <w:r>
        <w:rPr>
          <w:rFonts w:hint="eastAsia" w:eastAsia="仿宋_GB2312"/>
          <w:color w:val="auto"/>
          <w:sz w:val="32"/>
          <w:szCs w:val="32"/>
          <w:lang w:eastAsia="zh-CN"/>
        </w:rPr>
        <w:t>注册</w:t>
      </w:r>
      <w:r>
        <w:rPr>
          <w:rFonts w:eastAsia="仿宋_GB2312"/>
          <w:color w:val="auto"/>
          <w:sz w:val="32"/>
          <w:szCs w:val="32"/>
        </w:rPr>
        <w:t>申报资料电子目录</w:t>
      </w:r>
    </w:p>
    <w:p>
      <w:pPr>
        <w:widowControl/>
        <w:spacing w:line="540" w:lineRule="exact"/>
        <w:jc w:val="left"/>
        <w:rPr>
          <w:rFonts w:eastAsia="仿宋_GB2312"/>
          <w:color w:val="auto"/>
          <w:sz w:val="32"/>
          <w:szCs w:val="32"/>
        </w:rPr>
      </w:pPr>
      <w:r>
        <w:rPr>
          <w:rFonts w:hint="eastAsia" w:eastAsia="仿宋_GB2312"/>
          <w:color w:val="auto"/>
          <w:sz w:val="32"/>
          <w:szCs w:val="32"/>
        </w:rPr>
        <w:t>五</w:t>
      </w:r>
      <w:r>
        <w:rPr>
          <w:rFonts w:eastAsia="仿宋_GB2312"/>
          <w:color w:val="auto"/>
          <w:sz w:val="32"/>
          <w:szCs w:val="32"/>
        </w:rPr>
        <w:t>、</w:t>
      </w:r>
      <w:r>
        <w:rPr>
          <w:rFonts w:hint="eastAsia" w:eastAsia="仿宋_GB2312"/>
          <w:color w:val="auto"/>
          <w:sz w:val="32"/>
          <w:szCs w:val="32"/>
        </w:rPr>
        <w:t>湖南省</w:t>
      </w:r>
      <w:r>
        <w:rPr>
          <w:rFonts w:eastAsia="仿宋_GB2312"/>
          <w:color w:val="auto"/>
          <w:sz w:val="32"/>
          <w:szCs w:val="32"/>
        </w:rPr>
        <w:t>第</w:t>
      </w:r>
      <w:r>
        <w:rPr>
          <w:rFonts w:hint="eastAsia" w:eastAsia="仿宋_GB2312"/>
          <w:color w:val="auto"/>
          <w:sz w:val="32"/>
          <w:szCs w:val="32"/>
        </w:rPr>
        <w:t>二</w:t>
      </w:r>
      <w:r>
        <w:rPr>
          <w:rFonts w:eastAsia="仿宋_GB2312"/>
          <w:color w:val="auto"/>
          <w:sz w:val="32"/>
          <w:szCs w:val="32"/>
        </w:rPr>
        <w:t>类医疗器械延续注册申报资料电子目录</w:t>
      </w:r>
      <w:r>
        <w:rPr>
          <w:rFonts w:eastAsia="仿宋_GB2312"/>
          <w:color w:val="auto"/>
          <w:sz w:val="32"/>
          <w:szCs w:val="32"/>
        </w:rPr>
        <w:tab/>
      </w:r>
    </w:p>
    <w:p>
      <w:pPr>
        <w:widowControl/>
        <w:spacing w:line="540" w:lineRule="exact"/>
        <w:jc w:val="left"/>
        <w:rPr>
          <w:rFonts w:eastAsia="仿宋_GB2312"/>
          <w:color w:val="auto"/>
          <w:sz w:val="32"/>
          <w:szCs w:val="32"/>
        </w:rPr>
      </w:pPr>
      <w:r>
        <w:rPr>
          <w:rFonts w:hint="eastAsia" w:eastAsia="仿宋_GB2312"/>
          <w:color w:val="auto"/>
          <w:sz w:val="32"/>
          <w:szCs w:val="32"/>
        </w:rPr>
        <w:t>六</w:t>
      </w:r>
      <w:r>
        <w:rPr>
          <w:rFonts w:eastAsia="仿宋_GB2312"/>
          <w:color w:val="auto"/>
          <w:sz w:val="32"/>
          <w:szCs w:val="32"/>
        </w:rPr>
        <w:t>、</w:t>
      </w:r>
      <w:r>
        <w:rPr>
          <w:rFonts w:hint="eastAsia" w:eastAsia="仿宋_GB2312"/>
          <w:color w:val="auto"/>
          <w:sz w:val="32"/>
          <w:szCs w:val="32"/>
        </w:rPr>
        <w:t>湖南省</w:t>
      </w:r>
      <w:r>
        <w:rPr>
          <w:rFonts w:eastAsia="仿宋_GB2312"/>
          <w:color w:val="auto"/>
          <w:sz w:val="32"/>
          <w:szCs w:val="32"/>
        </w:rPr>
        <w:t>第</w:t>
      </w:r>
      <w:r>
        <w:rPr>
          <w:rFonts w:hint="eastAsia" w:eastAsia="仿宋_GB2312"/>
          <w:color w:val="auto"/>
          <w:sz w:val="32"/>
          <w:szCs w:val="32"/>
        </w:rPr>
        <w:t>二</w:t>
      </w:r>
      <w:r>
        <w:rPr>
          <w:rFonts w:eastAsia="仿宋_GB2312"/>
          <w:color w:val="auto"/>
          <w:sz w:val="32"/>
          <w:szCs w:val="32"/>
        </w:rPr>
        <w:t>类体外诊断试剂延续注册申报资料电子目录</w:t>
      </w:r>
      <w:r>
        <w:rPr>
          <w:rFonts w:eastAsia="仿宋_GB2312"/>
          <w:color w:val="auto"/>
          <w:sz w:val="32"/>
          <w:szCs w:val="32"/>
        </w:rPr>
        <w:tab/>
      </w:r>
    </w:p>
    <w:p>
      <w:pPr>
        <w:widowControl/>
        <w:spacing w:line="540" w:lineRule="exact"/>
        <w:jc w:val="left"/>
        <w:rPr>
          <w:rFonts w:eastAsia="仿宋_GB2312"/>
          <w:color w:val="auto"/>
          <w:sz w:val="32"/>
          <w:szCs w:val="32"/>
        </w:rPr>
      </w:pPr>
      <w:r>
        <w:rPr>
          <w:rFonts w:hint="eastAsia" w:eastAsia="仿宋_GB2312"/>
          <w:color w:val="auto"/>
          <w:sz w:val="32"/>
          <w:szCs w:val="32"/>
        </w:rPr>
        <w:t>七</w:t>
      </w:r>
      <w:r>
        <w:rPr>
          <w:rFonts w:eastAsia="仿宋_GB2312"/>
          <w:color w:val="auto"/>
          <w:sz w:val="32"/>
          <w:szCs w:val="32"/>
        </w:rPr>
        <w:t>、</w:t>
      </w:r>
      <w:r>
        <w:rPr>
          <w:rFonts w:hint="eastAsia" w:eastAsia="仿宋_GB2312"/>
          <w:color w:val="auto"/>
          <w:sz w:val="32"/>
          <w:szCs w:val="32"/>
        </w:rPr>
        <w:t>湖南省第二类医疗器械变更备案申报材料电子目录</w:t>
      </w:r>
      <w:r>
        <w:rPr>
          <w:rFonts w:eastAsia="仿宋_GB2312"/>
          <w:color w:val="auto"/>
          <w:sz w:val="32"/>
          <w:szCs w:val="32"/>
        </w:rPr>
        <w:tab/>
      </w:r>
    </w:p>
    <w:p>
      <w:pPr>
        <w:widowControl/>
        <w:spacing w:line="540" w:lineRule="exact"/>
        <w:jc w:val="left"/>
        <w:rPr>
          <w:rFonts w:eastAsia="仿宋_GB2312"/>
          <w:color w:val="auto"/>
          <w:sz w:val="32"/>
          <w:szCs w:val="32"/>
        </w:rPr>
      </w:pPr>
      <w:r>
        <w:rPr>
          <w:rFonts w:hint="eastAsia" w:eastAsia="仿宋_GB2312"/>
          <w:color w:val="auto"/>
          <w:sz w:val="32"/>
          <w:szCs w:val="32"/>
        </w:rPr>
        <w:t>八、湖南省第二类体外诊断试剂变更备案申报材料电子目录</w:t>
      </w:r>
    </w:p>
    <w:p>
      <w:pPr>
        <w:widowControl/>
        <w:spacing w:line="480" w:lineRule="exact"/>
        <w:jc w:val="left"/>
        <w:rPr>
          <w:b/>
          <w:bCs/>
          <w:color w:val="auto"/>
          <w:sz w:val="36"/>
          <w:lang w:val="zh-CN"/>
        </w:rPr>
      </w:pPr>
      <w:r>
        <w:rPr>
          <w:rFonts w:eastAsia="仿宋_GB2312"/>
          <w:b/>
          <w:bCs/>
          <w:color w:val="auto"/>
          <w:sz w:val="32"/>
          <w:szCs w:val="32"/>
          <w:lang w:val="zh-CN"/>
        </w:rPr>
        <w:fldChar w:fldCharType="end"/>
      </w:r>
    </w:p>
    <w:p>
      <w:pPr>
        <w:widowControl/>
        <w:spacing w:line="540" w:lineRule="exact"/>
        <w:jc w:val="left"/>
        <w:rPr>
          <w:rFonts w:eastAsia="黑体"/>
          <w:color w:val="auto"/>
          <w:kern w:val="44"/>
          <w:sz w:val="32"/>
          <w:szCs w:val="32"/>
          <w:lang w:val="zh-CN"/>
        </w:rPr>
      </w:pPr>
      <w:r>
        <w:rPr>
          <w:rFonts w:eastAsia="方正小标宋简体"/>
          <w:color w:val="auto"/>
          <w:sz w:val="40"/>
          <w:szCs w:val="32"/>
          <w:lang w:val="zh-CN"/>
        </w:rPr>
        <w:br w:type="page"/>
      </w:r>
      <w:r>
        <w:rPr>
          <w:rFonts w:eastAsia="黑体"/>
          <w:bCs/>
          <w:color w:val="auto"/>
          <w:kern w:val="44"/>
          <w:sz w:val="32"/>
          <w:szCs w:val="44"/>
          <w:lang w:val="zh-CN"/>
        </w:rPr>
        <w:t>一、</w:t>
      </w:r>
      <w:r>
        <w:rPr>
          <w:rFonts w:hint="eastAsia" w:eastAsia="黑体"/>
          <w:bCs/>
          <w:color w:val="auto"/>
          <w:kern w:val="44"/>
          <w:sz w:val="32"/>
          <w:szCs w:val="44"/>
          <w:lang w:val="zh-CN"/>
        </w:rPr>
        <w:t>湖南省</w:t>
      </w:r>
      <w:r>
        <w:rPr>
          <w:rFonts w:eastAsia="黑体"/>
          <w:bCs/>
          <w:color w:val="auto"/>
          <w:kern w:val="44"/>
          <w:sz w:val="32"/>
          <w:szCs w:val="44"/>
          <w:lang w:val="zh-CN"/>
        </w:rPr>
        <w:t>第</w:t>
      </w:r>
      <w:r>
        <w:rPr>
          <w:rFonts w:hint="eastAsia" w:eastAsia="黑体"/>
          <w:bCs/>
          <w:color w:val="auto"/>
          <w:kern w:val="44"/>
          <w:sz w:val="32"/>
          <w:szCs w:val="44"/>
          <w:lang w:val="zh-CN"/>
        </w:rPr>
        <w:t>二</w:t>
      </w:r>
      <w:r>
        <w:rPr>
          <w:rFonts w:eastAsia="黑体"/>
          <w:bCs/>
          <w:color w:val="auto"/>
          <w:kern w:val="44"/>
          <w:sz w:val="32"/>
          <w:szCs w:val="44"/>
          <w:lang w:val="zh-CN"/>
        </w:rPr>
        <w:t>类医疗器械</w:t>
      </w:r>
      <w:r>
        <w:rPr>
          <w:rFonts w:hint="eastAsia" w:eastAsia="黑体"/>
          <w:bCs/>
          <w:color w:val="auto"/>
          <w:kern w:val="44"/>
          <w:sz w:val="32"/>
          <w:szCs w:val="44"/>
          <w:lang w:val="zh-CN"/>
        </w:rPr>
        <w:t>首次</w:t>
      </w:r>
      <w:r>
        <w:rPr>
          <w:rFonts w:eastAsia="黑体"/>
          <w:bCs/>
          <w:color w:val="auto"/>
          <w:kern w:val="44"/>
          <w:sz w:val="32"/>
          <w:szCs w:val="44"/>
          <w:lang w:val="zh-CN"/>
        </w:rPr>
        <w:t>注册申报资料电子目录</w:t>
      </w:r>
    </w:p>
    <w:tbl>
      <w:tblPr>
        <w:tblStyle w:val="11"/>
        <w:tblW w:w="10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985"/>
        <w:gridCol w:w="1720"/>
        <w:gridCol w:w="710"/>
        <w:gridCol w:w="5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985" w:type="dxa"/>
            <w:tcBorders>
              <w:top w:val="single" w:color="auto" w:sz="4" w:space="0"/>
            </w:tcBorders>
            <w:shd w:val="clear" w:color="auto" w:fill="FFFFFF"/>
            <w:vAlign w:val="center"/>
          </w:tcPr>
          <w:p>
            <w:pPr>
              <w:overflowPunct w:val="0"/>
              <w:jc w:val="center"/>
              <w:rPr>
                <w:rFonts w:eastAsia="黑体"/>
                <w:bCs/>
                <w:color w:val="auto"/>
                <w:kern w:val="0"/>
                <w:sz w:val="22"/>
              </w:rPr>
            </w:pPr>
            <w:r>
              <w:rPr>
                <w:rFonts w:eastAsia="黑体"/>
                <w:bCs/>
                <w:color w:val="auto"/>
                <w:kern w:val="0"/>
                <w:sz w:val="22"/>
              </w:rPr>
              <w:t>RPS</w:t>
            </w:r>
          </w:p>
          <w:p>
            <w:pPr>
              <w:overflowPunct w:val="0"/>
              <w:jc w:val="center"/>
              <w:rPr>
                <w:rFonts w:eastAsia="黑体"/>
                <w:bCs/>
                <w:color w:val="auto"/>
                <w:kern w:val="0"/>
                <w:sz w:val="22"/>
              </w:rPr>
            </w:pPr>
            <w:r>
              <w:rPr>
                <w:rFonts w:eastAsia="黑体"/>
                <w:bCs/>
                <w:color w:val="auto"/>
                <w:kern w:val="0"/>
                <w:sz w:val="22"/>
              </w:rPr>
              <w:t>目录</w:t>
            </w:r>
          </w:p>
        </w:tc>
        <w:tc>
          <w:tcPr>
            <w:tcW w:w="1720" w:type="dxa"/>
            <w:tcBorders>
              <w:top w:val="single" w:color="auto" w:sz="4" w:space="0"/>
            </w:tcBorders>
            <w:shd w:val="clear" w:color="auto" w:fill="FFFFFF"/>
            <w:vAlign w:val="center"/>
          </w:tcPr>
          <w:p>
            <w:pPr>
              <w:overflowPunct w:val="0"/>
              <w:jc w:val="center"/>
              <w:rPr>
                <w:rFonts w:eastAsia="黑体"/>
                <w:bCs/>
                <w:color w:val="auto"/>
                <w:kern w:val="0"/>
                <w:sz w:val="22"/>
              </w:rPr>
            </w:pPr>
            <w:r>
              <w:rPr>
                <w:rFonts w:eastAsia="黑体"/>
                <w:bCs/>
                <w:color w:val="auto"/>
                <w:kern w:val="0"/>
                <w:sz w:val="22"/>
              </w:rPr>
              <w:t>标题</w:t>
            </w:r>
          </w:p>
        </w:tc>
        <w:tc>
          <w:tcPr>
            <w:tcW w:w="710" w:type="dxa"/>
            <w:tcBorders>
              <w:top w:val="single" w:color="auto" w:sz="4" w:space="0"/>
            </w:tcBorders>
            <w:shd w:val="clear" w:color="auto" w:fill="FFFFFF"/>
            <w:vAlign w:val="center"/>
          </w:tcPr>
          <w:p>
            <w:pPr>
              <w:overflowPunct w:val="0"/>
              <w:jc w:val="center"/>
              <w:rPr>
                <w:rFonts w:eastAsia="黑体"/>
                <w:bCs/>
                <w:color w:val="auto"/>
                <w:kern w:val="0"/>
                <w:sz w:val="22"/>
              </w:rPr>
            </w:pPr>
            <w:r>
              <w:rPr>
                <w:rFonts w:eastAsia="黑体"/>
                <w:bCs/>
                <w:color w:val="auto"/>
                <w:kern w:val="0"/>
                <w:sz w:val="22"/>
              </w:rPr>
              <w:t>适用情况</w:t>
            </w:r>
          </w:p>
        </w:tc>
        <w:tc>
          <w:tcPr>
            <w:tcW w:w="5748" w:type="dxa"/>
            <w:tcBorders>
              <w:top w:val="single" w:color="auto" w:sz="4" w:space="0"/>
            </w:tcBorders>
            <w:shd w:val="clear" w:color="auto" w:fill="FFFFFF"/>
            <w:vAlign w:val="center"/>
          </w:tcPr>
          <w:p>
            <w:pPr>
              <w:overflowPunct w:val="0"/>
              <w:jc w:val="center"/>
              <w:rPr>
                <w:rFonts w:eastAsia="黑体"/>
                <w:bCs/>
                <w:color w:val="auto"/>
                <w:kern w:val="0"/>
                <w:sz w:val="22"/>
              </w:rPr>
            </w:pPr>
            <w:r>
              <w:rPr>
                <w:rFonts w:eastAsia="黑体"/>
                <w:bCs/>
                <w:color w:val="auto"/>
                <w:kern w:val="0"/>
                <w:sz w:val="22"/>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63" w:type="dxa"/>
            <w:gridSpan w:val="4"/>
            <w:shd w:val="clear" w:color="auto" w:fill="FFFFFF"/>
            <w:vAlign w:val="center"/>
          </w:tcPr>
          <w:p>
            <w:pPr>
              <w:overflowPunct w:val="0"/>
              <w:jc w:val="center"/>
              <w:rPr>
                <w:b/>
                <w:color w:val="auto"/>
                <w:kern w:val="0"/>
                <w:sz w:val="22"/>
              </w:rPr>
            </w:pPr>
            <w:r>
              <w:rPr>
                <w:b/>
                <w:color w:val="auto"/>
                <w:kern w:val="0"/>
                <w:sz w:val="22"/>
              </w:rPr>
              <w:t>第1章——</w:t>
            </w:r>
            <w:r>
              <w:rPr>
                <w:rFonts w:hint="eastAsia"/>
                <w:b/>
                <w:color w:val="auto"/>
                <w:kern w:val="0"/>
                <w:sz w:val="22"/>
              </w:rPr>
              <w:t>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CH1.1</w:t>
            </w:r>
          </w:p>
        </w:tc>
        <w:tc>
          <w:tcPr>
            <w:tcW w:w="1720" w:type="dxa"/>
            <w:shd w:val="clear" w:color="auto" w:fill="FFFFFF"/>
            <w:vAlign w:val="center"/>
          </w:tcPr>
          <w:p>
            <w:pPr>
              <w:overflowPunct w:val="0"/>
              <w:jc w:val="left"/>
              <w:rPr>
                <w:color w:val="auto"/>
                <w:kern w:val="0"/>
                <w:sz w:val="22"/>
              </w:rPr>
            </w:pPr>
            <w:r>
              <w:rPr>
                <w:rFonts w:hint="eastAsia"/>
                <w:color w:val="auto"/>
                <w:kern w:val="0"/>
                <w:sz w:val="22"/>
              </w:rPr>
              <w:t>章节目录</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应当包括本章的所有标题和小标题，注明目录中各内容的页码，一般以表格形式体现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CH1.2</w:t>
            </w:r>
          </w:p>
        </w:tc>
        <w:tc>
          <w:tcPr>
            <w:tcW w:w="1720" w:type="dxa"/>
            <w:shd w:val="clear" w:color="auto" w:fill="FFFFFF"/>
            <w:vAlign w:val="center"/>
          </w:tcPr>
          <w:p>
            <w:pPr>
              <w:overflowPunct w:val="0"/>
              <w:jc w:val="left"/>
              <w:rPr>
                <w:color w:val="auto"/>
                <w:kern w:val="0"/>
                <w:sz w:val="22"/>
              </w:rPr>
            </w:pPr>
            <w:r>
              <w:rPr>
                <w:rFonts w:hint="eastAsia"/>
                <w:color w:val="auto"/>
                <w:kern w:val="0"/>
                <w:sz w:val="22"/>
              </w:rPr>
              <w:t>申请表</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keepNext w:val="0"/>
              <w:keepLines w:val="0"/>
              <w:pageBreakBefore w:val="0"/>
              <w:widowControl w:val="0"/>
              <w:kinsoku/>
              <w:wordWrap/>
              <w:overflowPunct/>
              <w:topLinePunct w:val="0"/>
              <w:autoSpaceDE/>
              <w:autoSpaceDN/>
              <w:bidi w:val="0"/>
              <w:adjustRightInd/>
              <w:snapToGrid/>
              <w:textAlignment w:val="auto"/>
              <w:outlineLvl w:val="9"/>
              <w:rPr>
                <w:color w:val="auto"/>
                <w:sz w:val="22"/>
                <w:szCs w:val="22"/>
              </w:rPr>
            </w:pPr>
            <w:r>
              <w:rPr>
                <w:color w:val="auto"/>
                <w:sz w:val="22"/>
                <w:szCs w:val="22"/>
              </w:rPr>
              <w:t>在省药品监督管理局医疗器械注册电子申报子系统中填写并加盖电子印章</w:t>
            </w:r>
            <w:r>
              <w:rPr>
                <w:rFonts w:hint="eastAsia"/>
                <w:color w:val="auto"/>
                <w:sz w:val="22"/>
                <w:szCs w:val="22"/>
              </w:rPr>
              <w:t>；样表可在政务服务旗舰店办事指南查看。</w:t>
            </w:r>
          </w:p>
          <w:p>
            <w:pPr>
              <w:overflowPunct w:val="0"/>
              <w:jc w:val="left"/>
              <w:rPr>
                <w:color w:val="auto"/>
                <w:kern w:val="0"/>
                <w:sz w:val="22"/>
              </w:rPr>
            </w:pPr>
            <w:r>
              <w:rPr>
                <w:rFonts w:hint="eastAsia"/>
                <w:color w:val="auto"/>
                <w:kern w:val="0"/>
                <w:sz w:val="22"/>
              </w:rPr>
              <w:t>（1）企业提供的申请表信息与“国家企业信用信息公示系统”公示的信息一致，并显示企业处于存续状态；</w:t>
            </w:r>
          </w:p>
          <w:p>
            <w:pPr>
              <w:overflowPunct w:val="0"/>
              <w:jc w:val="left"/>
              <w:rPr>
                <w:color w:val="auto"/>
                <w:kern w:val="0"/>
                <w:sz w:val="22"/>
              </w:rPr>
            </w:pPr>
            <w:r>
              <w:rPr>
                <w:rFonts w:hint="eastAsia"/>
                <w:color w:val="auto"/>
                <w:kern w:val="0"/>
                <w:sz w:val="22"/>
              </w:rPr>
              <w:t>（2）申请表中分类编码属于医疗器械产品分类目录中二类产品，其产品名称与申报资料产品名称一致；</w:t>
            </w:r>
          </w:p>
          <w:p>
            <w:pPr>
              <w:overflowPunct w:val="0"/>
              <w:jc w:val="left"/>
              <w:rPr>
                <w:color w:val="auto"/>
                <w:kern w:val="0"/>
                <w:sz w:val="22"/>
              </w:rPr>
            </w:pPr>
            <w:r>
              <w:rPr>
                <w:rFonts w:hint="eastAsia"/>
                <w:color w:val="auto"/>
                <w:kern w:val="0"/>
                <w:sz w:val="22"/>
              </w:rPr>
              <w:t>（3）属于委托生产情形，需在备注栏内注明受托企业名称及生产地址，其内容与受托方《营业执照》或者《医疗器械生产许可证》信息一致；</w:t>
            </w:r>
          </w:p>
          <w:p>
            <w:pPr>
              <w:overflowPunct w:val="0"/>
              <w:jc w:val="left"/>
              <w:rPr>
                <w:color w:val="auto"/>
                <w:kern w:val="0"/>
                <w:sz w:val="22"/>
              </w:rPr>
            </w:pPr>
            <w:r>
              <w:rPr>
                <w:rFonts w:hint="eastAsia"/>
                <w:color w:val="auto"/>
                <w:kern w:val="0"/>
                <w:sz w:val="22"/>
              </w:rPr>
              <w:t>（4）医疗器械产品首次注册时，企业根据实际情况填报企业质量管理体系核查情形（现场核查为必选项，企业应根据实际情况勾选注册检报告为自检报告或委托生产的情形；如本次申报注册产品与既往已获证且通过现场体系核查产品的工作原理、预期用途相同，结构组成生产条件、生产工艺基本相同的，企业也应根据实际情况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064"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CH1.3</w:t>
            </w:r>
          </w:p>
        </w:tc>
        <w:tc>
          <w:tcPr>
            <w:tcW w:w="1720" w:type="dxa"/>
            <w:shd w:val="clear" w:color="auto" w:fill="FFFFFF"/>
            <w:vAlign w:val="center"/>
          </w:tcPr>
          <w:p>
            <w:pPr>
              <w:overflowPunct w:val="0"/>
              <w:jc w:val="left"/>
              <w:rPr>
                <w:color w:val="auto"/>
                <w:kern w:val="0"/>
                <w:sz w:val="22"/>
              </w:rPr>
            </w:pPr>
            <w:r>
              <w:rPr>
                <w:color w:val="auto"/>
                <w:kern w:val="0"/>
                <w:sz w:val="22"/>
              </w:rPr>
              <w:t>术语、缩写词列表</w:t>
            </w:r>
          </w:p>
        </w:tc>
        <w:tc>
          <w:tcPr>
            <w:tcW w:w="710" w:type="dxa"/>
            <w:shd w:val="clear" w:color="auto" w:fill="FFFFFF"/>
            <w:vAlign w:val="center"/>
          </w:tcPr>
          <w:p>
            <w:pPr>
              <w:overflowPunct w:val="0"/>
              <w:jc w:val="center"/>
              <w:rPr>
                <w:color w:val="auto"/>
                <w:kern w:val="0"/>
                <w:sz w:val="22"/>
              </w:rPr>
            </w:pPr>
            <w:r>
              <w:rPr>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如适用，应当根据注册申报资料的实际情况，对其中出现的需要明确含义的术语或缩写词进行定义。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CH1.4</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产品列表</w:t>
            </w:r>
          </w:p>
        </w:tc>
        <w:tc>
          <w:tcPr>
            <w:tcW w:w="710" w:type="dxa"/>
            <w:shd w:val="clear" w:color="auto" w:fill="FFFFFF"/>
            <w:vAlign w:val="center"/>
          </w:tcPr>
          <w:p>
            <w:pPr>
              <w:overflowPunct w:val="0"/>
              <w:jc w:val="center"/>
              <w:rPr>
                <w:color w:val="auto"/>
                <w:kern w:val="0"/>
                <w:sz w:val="22"/>
              </w:rPr>
            </w:pPr>
            <w:r>
              <w:rPr>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以表格形式列出拟申报产品的型号、规格、结构及组成、附件，以及每个型号规格的标识（如型号或部件的编号，器械唯一标识等）和描述说明（如尺寸、材质等）。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485"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CH1.5</w:t>
            </w:r>
          </w:p>
        </w:tc>
        <w:tc>
          <w:tcPr>
            <w:tcW w:w="1720" w:type="dxa"/>
            <w:shd w:val="clear" w:color="auto" w:fill="FFFFFF"/>
            <w:vAlign w:val="center"/>
          </w:tcPr>
          <w:p>
            <w:pPr>
              <w:overflowPunct w:val="0"/>
              <w:jc w:val="left"/>
              <w:rPr>
                <w:color w:val="auto"/>
                <w:kern w:val="0"/>
                <w:sz w:val="22"/>
              </w:rPr>
            </w:pPr>
            <w:r>
              <w:rPr>
                <w:rFonts w:hint="eastAsia"/>
                <w:color w:val="auto"/>
                <w:kern w:val="0"/>
                <w:sz w:val="22"/>
              </w:rPr>
              <w:t>关联文件</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rFonts w:hint="eastAsia"/>
                <w:color w:val="auto"/>
                <w:kern w:val="0"/>
                <w:sz w:val="22"/>
              </w:rPr>
            </w:pPr>
            <w:r>
              <w:rPr>
                <w:rFonts w:hint="eastAsia"/>
                <w:color w:val="auto"/>
                <w:kern w:val="0"/>
                <w:sz w:val="22"/>
              </w:rPr>
              <w:t>（1）企业提供《营业执照》或事业单位法人证书复印件，同时提供的企业信息与“国家企业信用信息公示系统”公示的信息一致，并显示企业处于存续状态；</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rFonts w:hint="eastAsia"/>
                <w:color w:val="auto"/>
                <w:kern w:val="0"/>
                <w:sz w:val="22"/>
              </w:rPr>
            </w:pPr>
            <w:r>
              <w:rPr>
                <w:rFonts w:hint="eastAsia"/>
                <w:color w:val="auto"/>
                <w:kern w:val="0"/>
                <w:sz w:val="22"/>
              </w:rPr>
              <w:t>（</w:t>
            </w:r>
            <w:r>
              <w:rPr>
                <w:rFonts w:hint="eastAsia"/>
                <w:color w:val="auto"/>
                <w:kern w:val="0"/>
                <w:sz w:val="22"/>
                <w:lang w:val="en-US" w:eastAsia="zh-CN"/>
              </w:rPr>
              <w:t>2</w:t>
            </w:r>
            <w:r>
              <w:rPr>
                <w:rFonts w:hint="eastAsia"/>
                <w:color w:val="auto"/>
                <w:kern w:val="0"/>
                <w:sz w:val="22"/>
              </w:rPr>
              <w:t>）申请人如选择“创新医疗器械”/“应急医疗器械”/“优先医疗器械”，</w:t>
            </w:r>
            <w:r>
              <w:rPr>
                <w:rFonts w:hint="eastAsia"/>
                <w:color w:val="auto"/>
                <w:kern w:val="0"/>
                <w:sz w:val="22"/>
                <w:lang w:eastAsia="zh-CN"/>
              </w:rPr>
              <w:t>提供</w:t>
            </w:r>
            <w:r>
              <w:rPr>
                <w:rFonts w:hint="eastAsia"/>
                <w:color w:val="auto"/>
                <w:kern w:val="0"/>
                <w:sz w:val="22"/>
              </w:rPr>
              <w:t>省药品监督管理局出具的湖南省第二类创新医疗器械特别审查结果通知单/湖南省第二类医疗器械应急审批结果通知单/湖南省第二类医疗器械优先审批结果通知单。</w:t>
            </w:r>
          </w:p>
          <w:p>
            <w:pPr>
              <w:overflowPunct w:val="0"/>
              <w:jc w:val="left"/>
              <w:rPr>
                <w:color w:val="auto"/>
                <w:kern w:val="0"/>
                <w:sz w:val="22"/>
              </w:rPr>
            </w:pPr>
            <w:r>
              <w:rPr>
                <w:rFonts w:hint="eastAsia"/>
                <w:color w:val="auto"/>
                <w:kern w:val="0"/>
                <w:sz w:val="22"/>
              </w:rPr>
              <w:t>（</w:t>
            </w:r>
            <w:r>
              <w:rPr>
                <w:rFonts w:hint="eastAsia"/>
                <w:color w:val="auto"/>
                <w:kern w:val="0"/>
                <w:sz w:val="22"/>
                <w:lang w:val="en-US" w:eastAsia="zh-CN"/>
              </w:rPr>
              <w:t>3</w:t>
            </w:r>
            <w:r>
              <w:rPr>
                <w:rFonts w:hint="eastAsia"/>
                <w:color w:val="auto"/>
                <w:kern w:val="0"/>
                <w:sz w:val="22"/>
              </w:rPr>
              <w:t>）委托生产情形，提供受托企业《营业执照》复印件以及包含委托生产产品信息的委托生产合同和质量协议。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504"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CH1.6</w:t>
            </w:r>
          </w:p>
        </w:tc>
        <w:tc>
          <w:tcPr>
            <w:tcW w:w="1720" w:type="dxa"/>
            <w:shd w:val="clear" w:color="auto" w:fill="FFFFFF"/>
            <w:vAlign w:val="center"/>
          </w:tcPr>
          <w:p>
            <w:pPr>
              <w:overflowPunct w:val="0"/>
              <w:jc w:val="left"/>
              <w:rPr>
                <w:color w:val="auto"/>
                <w:kern w:val="0"/>
                <w:sz w:val="22"/>
              </w:rPr>
            </w:pPr>
            <w:r>
              <w:rPr>
                <w:rFonts w:hint="eastAsia"/>
                <w:color w:val="auto"/>
                <w:kern w:val="0"/>
                <w:sz w:val="22"/>
              </w:rPr>
              <w:t>申报前与监管机构的联系情况和沟通记录</w:t>
            </w:r>
          </w:p>
        </w:tc>
        <w:tc>
          <w:tcPr>
            <w:tcW w:w="710" w:type="dxa"/>
            <w:shd w:val="clear" w:color="auto" w:fill="FFFFFF"/>
            <w:vAlign w:val="center"/>
          </w:tcPr>
          <w:p>
            <w:pPr>
              <w:overflowPunct w:val="0"/>
              <w:jc w:val="center"/>
              <w:rPr>
                <w:color w:val="auto"/>
                <w:kern w:val="0"/>
                <w:sz w:val="22"/>
                <w:highlight w:val="yellow"/>
              </w:rPr>
            </w:pPr>
            <w:r>
              <w:rPr>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（1）在产品申报前，如果申请人与监管机构针对申报产品以会议形式进行了沟通，或者申报产品与既往注册申报相关。应当提供下列内容（如适用）：</w:t>
            </w:r>
          </w:p>
          <w:p>
            <w:pPr>
              <w:overflowPunct w:val="0"/>
              <w:jc w:val="left"/>
              <w:rPr>
                <w:color w:val="auto"/>
                <w:kern w:val="0"/>
                <w:sz w:val="22"/>
              </w:rPr>
            </w:pPr>
            <w:r>
              <w:rPr>
                <w:rFonts w:hint="eastAsia"/>
                <w:color w:val="auto"/>
                <w:kern w:val="0"/>
                <w:sz w:val="22"/>
              </w:rPr>
              <w:t>①列出监管机构回复的申报前沟通。</w:t>
            </w:r>
          </w:p>
          <w:p>
            <w:pPr>
              <w:overflowPunct w:val="0"/>
              <w:jc w:val="left"/>
              <w:rPr>
                <w:color w:val="auto"/>
                <w:kern w:val="0"/>
                <w:sz w:val="22"/>
              </w:rPr>
            </w:pPr>
            <w:r>
              <w:rPr>
                <w:rFonts w:hint="eastAsia"/>
                <w:color w:val="auto"/>
                <w:kern w:val="0"/>
                <w:sz w:val="22"/>
              </w:rPr>
              <w:t>②既往注册申报产品的受理号。</w:t>
            </w:r>
          </w:p>
          <w:p>
            <w:pPr>
              <w:overflowPunct w:val="0"/>
              <w:jc w:val="left"/>
              <w:rPr>
                <w:color w:val="auto"/>
                <w:kern w:val="0"/>
                <w:sz w:val="22"/>
              </w:rPr>
            </w:pPr>
            <w:r>
              <w:rPr>
                <w:rFonts w:hint="eastAsia"/>
                <w:color w:val="auto"/>
                <w:kern w:val="0"/>
                <w:sz w:val="22"/>
              </w:rPr>
              <w:t>③既往申报前沟通的相关资料，如既往申报会议前提交的信息、会议议程、演示幻灯片、最终的会议纪要、会议中待办事项的回复，以及所有与申请相关的电子邮件。</w:t>
            </w:r>
          </w:p>
          <w:p>
            <w:pPr>
              <w:overflowPunct w:val="0"/>
              <w:jc w:val="left"/>
              <w:rPr>
                <w:color w:val="auto"/>
                <w:kern w:val="0"/>
                <w:sz w:val="22"/>
              </w:rPr>
            </w:pPr>
            <w:r>
              <w:rPr>
                <w:rFonts w:hint="eastAsia"/>
                <w:color w:val="auto"/>
                <w:kern w:val="0"/>
                <w:sz w:val="22"/>
              </w:rPr>
              <w:t>④既往申报（如自行撤销/不予注册上市申请、临床试验审批申请等）中监管机构已明确的相关问题。</w:t>
            </w:r>
          </w:p>
          <w:p>
            <w:pPr>
              <w:overflowPunct w:val="0"/>
              <w:jc w:val="left"/>
              <w:rPr>
                <w:color w:val="auto"/>
                <w:kern w:val="0"/>
                <w:sz w:val="22"/>
              </w:rPr>
            </w:pPr>
            <w:r>
              <w:rPr>
                <w:rFonts w:hint="eastAsia"/>
                <w:color w:val="auto"/>
                <w:kern w:val="0"/>
                <w:sz w:val="22"/>
              </w:rPr>
              <w:t>⑤在申报前沟通中，申请人明确提出的问题，以及监管机构提供的建议。</w:t>
            </w:r>
          </w:p>
          <w:p>
            <w:pPr>
              <w:overflowPunct w:val="0"/>
              <w:jc w:val="left"/>
              <w:rPr>
                <w:color w:val="auto"/>
                <w:kern w:val="0"/>
                <w:sz w:val="22"/>
              </w:rPr>
            </w:pPr>
            <w:r>
              <w:rPr>
                <w:rFonts w:hint="eastAsia"/>
                <w:color w:val="auto"/>
                <w:kern w:val="0"/>
                <w:sz w:val="22"/>
              </w:rPr>
              <w:t>⑥说明在本次申报中如何解决上述问题。</w:t>
            </w:r>
          </w:p>
          <w:p>
            <w:pPr>
              <w:overflowPunct w:val="0"/>
              <w:jc w:val="left"/>
              <w:rPr>
                <w:color w:val="auto"/>
                <w:kern w:val="0"/>
                <w:sz w:val="22"/>
              </w:rPr>
            </w:pPr>
            <w:r>
              <w:rPr>
                <w:rFonts w:hint="eastAsia"/>
                <w:color w:val="auto"/>
                <w:kern w:val="0"/>
                <w:sz w:val="22"/>
              </w:rPr>
              <w:t>（2）如不适用，应当明确声明申报产品没有既往申报和/或申报前沟通。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773"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CH1.7</w:t>
            </w:r>
          </w:p>
        </w:tc>
        <w:tc>
          <w:tcPr>
            <w:tcW w:w="1720" w:type="dxa"/>
            <w:shd w:val="clear" w:color="auto" w:fill="FFFFFF"/>
            <w:vAlign w:val="center"/>
          </w:tcPr>
          <w:p>
            <w:pPr>
              <w:overflowPunct w:val="0"/>
              <w:jc w:val="left"/>
              <w:rPr>
                <w:color w:val="auto"/>
                <w:kern w:val="0"/>
                <w:sz w:val="22"/>
              </w:rPr>
            </w:pPr>
            <w:r>
              <w:rPr>
                <w:rFonts w:hint="eastAsia"/>
                <w:color w:val="auto"/>
                <w:kern w:val="0"/>
                <w:sz w:val="22"/>
              </w:rPr>
              <w:t>申报产品符合现行国家标准、行业标准的清单</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0163" w:type="dxa"/>
            <w:gridSpan w:val="4"/>
            <w:shd w:val="clear" w:color="auto" w:fill="FFFFFF"/>
            <w:vAlign w:val="center"/>
          </w:tcPr>
          <w:p>
            <w:pPr>
              <w:overflowPunct w:val="0"/>
              <w:jc w:val="center"/>
              <w:rPr>
                <w:color w:val="auto"/>
                <w:kern w:val="0"/>
                <w:sz w:val="22"/>
              </w:rPr>
            </w:pPr>
            <w:r>
              <w:rPr>
                <w:rFonts w:hint="eastAsia"/>
                <w:b/>
                <w:bCs/>
                <w:color w:val="auto"/>
                <w:kern w:val="0"/>
                <w:sz w:val="22"/>
              </w:rPr>
              <w:t>第2章——综述资料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CH2.1</w:t>
            </w:r>
          </w:p>
        </w:tc>
        <w:tc>
          <w:tcPr>
            <w:tcW w:w="1720" w:type="dxa"/>
            <w:shd w:val="clear" w:color="auto" w:fill="FFFFFF"/>
            <w:vAlign w:val="center"/>
          </w:tcPr>
          <w:p>
            <w:pPr>
              <w:overflowPunct w:val="0"/>
              <w:jc w:val="left"/>
              <w:rPr>
                <w:color w:val="auto"/>
                <w:kern w:val="0"/>
                <w:sz w:val="22"/>
              </w:rPr>
            </w:pPr>
            <w:r>
              <w:rPr>
                <w:color w:val="auto"/>
                <w:kern w:val="0"/>
                <w:sz w:val="22"/>
              </w:rPr>
              <w:t>章节目录</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包括本章的所有标题及小标题，注明目录中各内容页码。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CH2.2</w:t>
            </w:r>
          </w:p>
        </w:tc>
        <w:tc>
          <w:tcPr>
            <w:tcW w:w="1720" w:type="dxa"/>
            <w:shd w:val="clear" w:color="auto" w:fill="FFFFFF"/>
            <w:vAlign w:val="center"/>
          </w:tcPr>
          <w:p>
            <w:pPr>
              <w:overflowPunct w:val="0"/>
              <w:jc w:val="left"/>
              <w:rPr>
                <w:color w:val="auto"/>
                <w:kern w:val="0"/>
                <w:sz w:val="22"/>
              </w:rPr>
            </w:pPr>
            <w:r>
              <w:rPr>
                <w:rFonts w:hint="eastAsia"/>
                <w:color w:val="auto"/>
                <w:kern w:val="0"/>
                <w:sz w:val="22"/>
              </w:rPr>
              <w:t>概述</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（1）描述申报产品的通用名称及其确定依据；</w:t>
            </w:r>
          </w:p>
          <w:p>
            <w:pPr>
              <w:overflowPunct w:val="0"/>
              <w:jc w:val="left"/>
              <w:rPr>
                <w:color w:val="auto"/>
                <w:kern w:val="0"/>
                <w:sz w:val="22"/>
              </w:rPr>
            </w:pPr>
            <w:r>
              <w:rPr>
                <w:rFonts w:hint="eastAsia"/>
                <w:color w:val="auto"/>
                <w:kern w:val="0"/>
                <w:sz w:val="22"/>
              </w:rPr>
              <w:t>（2）描述申报产品的管理类别，包括：所属分类子目录名称、一级产品类别、二级产品类别、管理类别、分类编码；</w:t>
            </w:r>
          </w:p>
          <w:p>
            <w:pPr>
              <w:overflowPunct w:val="0"/>
              <w:jc w:val="left"/>
              <w:rPr>
                <w:color w:val="auto"/>
                <w:kern w:val="0"/>
                <w:sz w:val="22"/>
              </w:rPr>
            </w:pPr>
            <w:r>
              <w:rPr>
                <w:rFonts w:hint="eastAsia"/>
                <w:color w:val="auto"/>
                <w:kern w:val="0"/>
                <w:sz w:val="22"/>
              </w:rPr>
              <w:t>（3）描述申报产品适用范围；</w:t>
            </w:r>
          </w:p>
          <w:p>
            <w:pPr>
              <w:overflowPunct w:val="0"/>
              <w:jc w:val="left"/>
              <w:rPr>
                <w:color w:val="auto"/>
                <w:kern w:val="0"/>
                <w:sz w:val="22"/>
              </w:rPr>
            </w:pPr>
            <w:r>
              <w:rPr>
                <w:rFonts w:hint="eastAsia"/>
                <w:color w:val="auto"/>
                <w:kern w:val="0"/>
                <w:sz w:val="22"/>
              </w:rPr>
              <w:t>（4）如适用，描述有关申报产品的背景信息概述或特别细节，如：申报产品的历史概述、历次提交的信息，与其他经批准上市产品的关系等。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725"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CH2.3</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产品描述</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N</w:t>
            </w:r>
            <w:r>
              <w:rPr>
                <w:color w:val="auto"/>
                <w:kern w:val="0"/>
                <w:sz w:val="22"/>
              </w:rPr>
              <w:t>R</w:t>
            </w:r>
          </w:p>
        </w:tc>
        <w:tc>
          <w:tcPr>
            <w:tcW w:w="5748" w:type="dxa"/>
            <w:shd w:val="clear" w:color="auto" w:fill="FFFFFF"/>
            <w:vAlign w:val="center"/>
          </w:tcPr>
          <w:p>
            <w:pPr>
              <w:overflowPunct w:val="0"/>
              <w:jc w:val="left"/>
              <w:rPr>
                <w:color w:val="auto"/>
                <w:kern w:val="0"/>
                <w:sz w:val="22"/>
              </w:rPr>
            </w:pPr>
          </w:p>
        </w:tc>
      </w:tr>
      <w:tr>
        <w:tblPrEx>
          <w:shd w:val="clear" w:color="auto" w:fill="FFFFFF"/>
          <w:tblLayout w:type="fixed"/>
          <w:tblCellMar>
            <w:top w:w="0" w:type="dxa"/>
            <w:left w:w="108" w:type="dxa"/>
            <w:bottom w:w="0" w:type="dxa"/>
            <w:right w:w="108" w:type="dxa"/>
          </w:tblCellMar>
        </w:tblPrEx>
        <w:trPr>
          <w:trHeight w:val="725"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CH2.3</w:t>
            </w:r>
            <w:r>
              <w:rPr>
                <w:rFonts w:hint="eastAsia"/>
                <w:b/>
                <w:bCs/>
                <w:color w:val="auto"/>
                <w:kern w:val="0"/>
                <w:sz w:val="22"/>
              </w:rPr>
              <w:t>.1</w:t>
            </w:r>
          </w:p>
        </w:tc>
        <w:tc>
          <w:tcPr>
            <w:tcW w:w="1720" w:type="dxa"/>
            <w:shd w:val="clear" w:color="auto" w:fill="FFFFFF"/>
            <w:vAlign w:val="center"/>
          </w:tcPr>
          <w:p>
            <w:pPr>
              <w:overflowPunct w:val="0"/>
              <w:jc w:val="left"/>
              <w:rPr>
                <w:color w:val="auto"/>
                <w:kern w:val="0"/>
                <w:sz w:val="22"/>
              </w:rPr>
            </w:pPr>
            <w:r>
              <w:rPr>
                <w:rFonts w:hint="eastAsia"/>
                <w:color w:val="auto"/>
                <w:kern w:val="0"/>
                <w:sz w:val="22"/>
              </w:rPr>
              <w:t>器械及操作原理描述</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①无源医疗器械</w:t>
            </w:r>
          </w:p>
          <w:p>
            <w:pPr>
              <w:overflowPunct w:val="0"/>
              <w:jc w:val="left"/>
              <w:rPr>
                <w:color w:val="auto"/>
                <w:kern w:val="0"/>
                <w:sz w:val="22"/>
              </w:rPr>
            </w:pPr>
            <w:r>
              <w:rPr>
                <w:rFonts w:hint="eastAsia"/>
                <w:color w:val="auto"/>
                <w:kern w:val="0"/>
                <w:sz w:val="22"/>
              </w:rPr>
              <w:t>描述工作原理、作用机理（如适用）、结构及组成、原材料（与使用者和/或患者直接或间接接触的材料成分；若器械中包含生物材料或衍生物，描述物质来源和原材料、预期使用目的、主要作用方式；若器械中包含活性药物成分（API）或药物，描述药物名称、预期使用目的、主要作用方式、来源）、交付状态及灭菌方式（如适用，描述灭菌实施者、灭菌方法、灭菌有效期），结构示意图和/或产品图示、使用方法及图示（如适用）以及区别于其他同类产品的特征等内容。</w:t>
            </w:r>
          </w:p>
          <w:p>
            <w:pPr>
              <w:overflowPunct w:val="0"/>
              <w:jc w:val="left"/>
              <w:rPr>
                <w:color w:val="auto"/>
                <w:kern w:val="0"/>
                <w:sz w:val="22"/>
              </w:rPr>
            </w:pPr>
            <w:r>
              <w:rPr>
                <w:rFonts w:hint="eastAsia"/>
                <w:color w:val="auto"/>
                <w:kern w:val="0"/>
                <w:sz w:val="22"/>
              </w:rPr>
              <w:t>②有源医疗器械</w:t>
            </w:r>
          </w:p>
          <w:p>
            <w:pPr>
              <w:overflowPunct w:val="0"/>
              <w:jc w:val="left"/>
              <w:rPr>
                <w:color w:val="auto"/>
                <w:kern w:val="0"/>
                <w:sz w:val="22"/>
              </w:rPr>
            </w:pPr>
            <w:r>
              <w:rPr>
                <w:rFonts w:hint="eastAsia"/>
                <w:color w:val="auto"/>
                <w:kern w:val="0"/>
                <w:sz w:val="22"/>
              </w:rPr>
              <w:t>描述工作原理、作用机理（如适用）、结构及组成、主要功能及其组成部件（如关键组件和软件等）的功能、产品图示（含标识、接口、操控面板、应用部分等细节），以及区别于其他同类产品的特征等内容。含有多个组成部分的，应说明其连接或组装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CH2.3</w:t>
            </w:r>
            <w:r>
              <w:rPr>
                <w:rFonts w:hint="eastAsia"/>
                <w:b/>
                <w:bCs/>
                <w:color w:val="auto"/>
                <w:kern w:val="0"/>
                <w:sz w:val="22"/>
              </w:rPr>
              <w:t>.2</w:t>
            </w:r>
          </w:p>
        </w:tc>
        <w:tc>
          <w:tcPr>
            <w:tcW w:w="1720" w:type="dxa"/>
            <w:shd w:val="clear" w:color="auto" w:fill="FFFFFF"/>
            <w:vAlign w:val="center"/>
          </w:tcPr>
          <w:p>
            <w:pPr>
              <w:overflowPunct w:val="0"/>
              <w:jc w:val="left"/>
              <w:rPr>
                <w:color w:val="auto"/>
                <w:kern w:val="0"/>
                <w:sz w:val="22"/>
              </w:rPr>
            </w:pPr>
            <w:r>
              <w:rPr>
                <w:rFonts w:hint="eastAsia"/>
                <w:color w:val="auto"/>
                <w:kern w:val="0"/>
                <w:sz w:val="22"/>
              </w:rPr>
              <w:t>型号规格</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对于存在多种型号规格的产品，应当明确各型号规格的区别。应当采用对比表或带有说明性文字的图片、图表，描述各种型号规格的结构组成（或配置）、功能、产品特征和运行模式、技术参数等内容。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CH2.3</w:t>
            </w:r>
            <w:r>
              <w:rPr>
                <w:rFonts w:hint="eastAsia"/>
                <w:b/>
                <w:bCs/>
                <w:color w:val="auto"/>
                <w:kern w:val="0"/>
                <w:sz w:val="22"/>
              </w:rPr>
              <w:t>.3</w:t>
            </w:r>
          </w:p>
        </w:tc>
        <w:tc>
          <w:tcPr>
            <w:tcW w:w="1720" w:type="dxa"/>
            <w:shd w:val="clear" w:color="auto" w:fill="FFFFFF"/>
            <w:vAlign w:val="center"/>
          </w:tcPr>
          <w:p>
            <w:pPr>
              <w:overflowPunct w:val="0"/>
              <w:jc w:val="left"/>
              <w:rPr>
                <w:color w:val="auto"/>
                <w:kern w:val="0"/>
                <w:sz w:val="22"/>
              </w:rPr>
            </w:pPr>
            <w:r>
              <w:rPr>
                <w:rFonts w:hint="eastAsia"/>
                <w:color w:val="auto"/>
                <w:kern w:val="0"/>
                <w:sz w:val="22"/>
              </w:rPr>
              <w:t>包装说明</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①说明所有产品组成的包装信息。对于无菌医疗器械，应当说明其无菌屏障系统的信息；对于具有微生物限度要求的医疗器械，应当说明保持其微生物限度的包装信息。说明如何确保最终使用者可清晰地辨识包装的完整性。</w:t>
            </w:r>
          </w:p>
          <w:p>
            <w:pPr>
              <w:overflowPunct w:val="0"/>
              <w:jc w:val="left"/>
              <w:rPr>
                <w:color w:val="auto"/>
                <w:kern w:val="0"/>
                <w:sz w:val="22"/>
              </w:rPr>
            </w:pPr>
            <w:r>
              <w:rPr>
                <w:rFonts w:hint="eastAsia"/>
                <w:color w:val="auto"/>
                <w:kern w:val="0"/>
                <w:sz w:val="22"/>
              </w:rPr>
              <w:t>②若使用者在进行灭菌前需要包装医疗器械或附件时，应当提供正确包装的信息（如材料、成分和尺寸等）。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CH2.3</w:t>
            </w:r>
            <w:r>
              <w:rPr>
                <w:rFonts w:hint="eastAsia"/>
                <w:b/>
                <w:bCs/>
                <w:color w:val="auto"/>
                <w:kern w:val="0"/>
                <w:sz w:val="22"/>
              </w:rPr>
              <w:t>.4</w:t>
            </w:r>
          </w:p>
        </w:tc>
        <w:tc>
          <w:tcPr>
            <w:tcW w:w="1720" w:type="dxa"/>
            <w:shd w:val="clear" w:color="auto" w:fill="FFFFFF"/>
            <w:vAlign w:val="center"/>
          </w:tcPr>
          <w:p>
            <w:pPr>
              <w:overflowPunct w:val="0"/>
              <w:jc w:val="left"/>
              <w:rPr>
                <w:color w:val="auto"/>
                <w:kern w:val="0"/>
                <w:sz w:val="22"/>
              </w:rPr>
            </w:pPr>
            <w:r>
              <w:rPr>
                <w:rFonts w:hint="eastAsia"/>
                <w:color w:val="auto"/>
                <w:kern w:val="0"/>
                <w:sz w:val="22"/>
              </w:rPr>
              <w:t>研发历程</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阐述申请注册产品的研发背景和目的。如有参考的同类产品或前代产品，应当提供同类产品或前代产品的信息，并说明选择其作为研发参考的原因。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CH2.3</w:t>
            </w:r>
            <w:r>
              <w:rPr>
                <w:rFonts w:hint="eastAsia"/>
                <w:b/>
                <w:bCs/>
                <w:color w:val="auto"/>
                <w:kern w:val="0"/>
                <w:sz w:val="22"/>
              </w:rPr>
              <w:t>.5</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与同类和/或前代产品的参考和比较</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列表比较说明申报产品与同类产品和/或前代产品在工作原理、结构组成、制造材料、性能指标、作用方式（如植入、介入），以及适用范围等方面的异同。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725"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CH2.4</w:t>
            </w:r>
          </w:p>
        </w:tc>
        <w:tc>
          <w:tcPr>
            <w:tcW w:w="1720" w:type="dxa"/>
            <w:shd w:val="clear" w:color="auto" w:fill="FFFFFF"/>
            <w:vAlign w:val="center"/>
          </w:tcPr>
          <w:p>
            <w:pPr>
              <w:overflowPunct w:val="0"/>
              <w:jc w:val="left"/>
              <w:rPr>
                <w:color w:val="auto"/>
                <w:kern w:val="0"/>
                <w:sz w:val="22"/>
              </w:rPr>
            </w:pPr>
            <w:r>
              <w:rPr>
                <w:rFonts w:hint="eastAsia"/>
                <w:color w:val="auto"/>
                <w:kern w:val="0"/>
                <w:sz w:val="22"/>
              </w:rPr>
              <w:t>适用范围和禁忌证</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N</w:t>
            </w:r>
            <w:r>
              <w:rPr>
                <w:color w:val="auto"/>
                <w:kern w:val="0"/>
                <w:sz w:val="22"/>
              </w:rPr>
              <w:t>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CH2.4</w:t>
            </w:r>
            <w:r>
              <w:rPr>
                <w:rFonts w:hint="eastAsia"/>
                <w:b/>
                <w:bCs/>
                <w:color w:val="auto"/>
                <w:kern w:val="0"/>
                <w:sz w:val="22"/>
              </w:rPr>
              <w:t>.1</w:t>
            </w:r>
          </w:p>
        </w:tc>
        <w:tc>
          <w:tcPr>
            <w:tcW w:w="1720" w:type="dxa"/>
            <w:shd w:val="clear" w:color="auto" w:fill="FFFFFF"/>
            <w:vAlign w:val="center"/>
          </w:tcPr>
          <w:p>
            <w:pPr>
              <w:overflowPunct w:val="0"/>
              <w:jc w:val="left"/>
              <w:rPr>
                <w:color w:val="auto"/>
                <w:kern w:val="0"/>
                <w:sz w:val="22"/>
              </w:rPr>
            </w:pPr>
            <w:r>
              <w:rPr>
                <w:rFonts w:hint="eastAsia"/>
                <w:color w:val="auto"/>
                <w:kern w:val="0"/>
                <w:sz w:val="22"/>
              </w:rPr>
              <w:t>适用范围</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①应当明确申报产品可提供的治疗或诊断功能，可描述其医疗过程（如体内或体外诊断、康复治疗监测、避孕、消毒等），并写明申报产品诊断、治疗、预防、缓解或治愈的疾病或病况，将要监测的参数和其他与适用范围相关的考虑。</w:t>
            </w:r>
          </w:p>
          <w:p>
            <w:pPr>
              <w:overflowPunct w:val="0"/>
              <w:jc w:val="left"/>
              <w:rPr>
                <w:color w:val="auto"/>
                <w:kern w:val="0"/>
                <w:sz w:val="22"/>
              </w:rPr>
            </w:pPr>
            <w:r>
              <w:rPr>
                <w:rFonts w:hint="eastAsia"/>
                <w:color w:val="auto"/>
                <w:kern w:val="0"/>
                <w:sz w:val="22"/>
              </w:rPr>
              <w:t>②申报产品的预期用途，并描述其适用的医疗阶段（如治疗后的监测、康复等）。</w:t>
            </w:r>
          </w:p>
          <w:p>
            <w:pPr>
              <w:overflowPunct w:val="0"/>
              <w:jc w:val="left"/>
              <w:rPr>
                <w:color w:val="auto"/>
                <w:kern w:val="0"/>
                <w:sz w:val="22"/>
              </w:rPr>
            </w:pPr>
            <w:r>
              <w:rPr>
                <w:rFonts w:hint="eastAsia"/>
                <w:color w:val="auto"/>
                <w:kern w:val="0"/>
                <w:sz w:val="22"/>
              </w:rPr>
              <w:t>③明确目标用户及其操作或使用该产品应当具备的技能/知识/培训。</w:t>
            </w:r>
          </w:p>
          <w:p>
            <w:pPr>
              <w:overflowPunct w:val="0"/>
              <w:jc w:val="left"/>
              <w:rPr>
                <w:color w:val="auto"/>
                <w:kern w:val="0"/>
                <w:sz w:val="22"/>
              </w:rPr>
            </w:pPr>
            <w:r>
              <w:rPr>
                <w:rFonts w:hint="eastAsia"/>
                <w:color w:val="auto"/>
                <w:kern w:val="0"/>
                <w:sz w:val="22"/>
              </w:rPr>
              <w:t>④说明产品是一次性使用还是重复使用。</w:t>
            </w:r>
          </w:p>
          <w:p>
            <w:pPr>
              <w:overflowPunct w:val="0"/>
              <w:jc w:val="left"/>
              <w:rPr>
                <w:color w:val="auto"/>
                <w:kern w:val="0"/>
                <w:sz w:val="22"/>
              </w:rPr>
            </w:pPr>
            <w:r>
              <w:rPr>
                <w:rFonts w:hint="eastAsia"/>
                <w:color w:val="auto"/>
                <w:kern w:val="0"/>
                <w:sz w:val="22"/>
              </w:rPr>
              <w:t>⑤说明与其组合使用实现预期用途的其他产品。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8"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CH2.4</w:t>
            </w:r>
            <w:r>
              <w:rPr>
                <w:rFonts w:hint="eastAsia"/>
                <w:b/>
                <w:bCs/>
                <w:color w:val="auto"/>
                <w:kern w:val="0"/>
                <w:sz w:val="22"/>
              </w:rPr>
              <w:t>.2</w:t>
            </w:r>
          </w:p>
        </w:tc>
        <w:tc>
          <w:tcPr>
            <w:tcW w:w="1720" w:type="dxa"/>
            <w:shd w:val="clear" w:color="auto" w:fill="FFFFFF"/>
            <w:vAlign w:val="center"/>
          </w:tcPr>
          <w:p>
            <w:pPr>
              <w:overflowPunct w:val="0"/>
              <w:jc w:val="left"/>
              <w:rPr>
                <w:color w:val="auto"/>
                <w:kern w:val="0"/>
                <w:sz w:val="22"/>
              </w:rPr>
            </w:pPr>
            <w:r>
              <w:rPr>
                <w:rFonts w:hint="eastAsia"/>
                <w:color w:val="auto"/>
                <w:kern w:val="0"/>
                <w:sz w:val="22"/>
              </w:rPr>
              <w:t>预期使用环境</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①该产品预期使用的地点，如医疗机构、实验室、救护车、家庭等。</w:t>
            </w:r>
          </w:p>
          <w:p>
            <w:pPr>
              <w:overflowPunct w:val="0"/>
              <w:jc w:val="left"/>
              <w:rPr>
                <w:color w:val="auto"/>
                <w:kern w:val="0"/>
                <w:sz w:val="22"/>
              </w:rPr>
            </w:pPr>
            <w:r>
              <w:rPr>
                <w:rFonts w:hint="eastAsia"/>
                <w:color w:val="auto"/>
                <w:kern w:val="0"/>
                <w:sz w:val="22"/>
              </w:rPr>
              <w:t>②可能影响其安全性和有效性的环境条件，如温度、湿度、压力、移动、振动、海拔等。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7"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CH2.4</w:t>
            </w:r>
            <w:r>
              <w:rPr>
                <w:rFonts w:hint="eastAsia"/>
                <w:b/>
                <w:bCs/>
                <w:color w:val="auto"/>
                <w:kern w:val="0"/>
                <w:sz w:val="22"/>
              </w:rPr>
              <w:t>.3</w:t>
            </w:r>
          </w:p>
        </w:tc>
        <w:tc>
          <w:tcPr>
            <w:tcW w:w="1720" w:type="dxa"/>
            <w:shd w:val="clear" w:color="auto" w:fill="FFFFFF"/>
            <w:vAlign w:val="center"/>
          </w:tcPr>
          <w:p>
            <w:pPr>
              <w:overflowPunct w:val="0"/>
              <w:jc w:val="left"/>
              <w:rPr>
                <w:color w:val="auto"/>
                <w:kern w:val="0"/>
                <w:sz w:val="22"/>
              </w:rPr>
            </w:pPr>
            <w:r>
              <w:rPr>
                <w:rFonts w:hint="eastAsia"/>
                <w:color w:val="auto"/>
                <w:kern w:val="0"/>
                <w:sz w:val="22"/>
              </w:rPr>
              <w:t>适用人群</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目标患者人群的信息（如成人、新生儿、婴儿或者儿童）或无预期治疗特定人群的声明，患者选择标准的信息，以及使用过程中需要监测的参数、考虑的因素。</w:t>
            </w:r>
          </w:p>
          <w:p>
            <w:pPr>
              <w:overflowPunct w:val="0"/>
              <w:jc w:val="left"/>
              <w:rPr>
                <w:color w:val="auto"/>
                <w:kern w:val="0"/>
                <w:sz w:val="22"/>
              </w:rPr>
            </w:pPr>
            <w:r>
              <w:rPr>
                <w:rFonts w:hint="eastAsia"/>
                <w:color w:val="auto"/>
                <w:kern w:val="0"/>
                <w:sz w:val="22"/>
              </w:rPr>
              <w:t>如申报产品目标患者人群包含新生儿、婴儿或者儿童，应当描述预期使用申报产品治疗、诊断、预防、缓解或治愈疾病、病况的非成人特定群体。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106"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CH2.4</w:t>
            </w:r>
            <w:r>
              <w:rPr>
                <w:rFonts w:hint="eastAsia"/>
                <w:b/>
                <w:bCs/>
                <w:color w:val="auto"/>
                <w:kern w:val="0"/>
                <w:sz w:val="22"/>
              </w:rPr>
              <w:t>.4</w:t>
            </w:r>
          </w:p>
        </w:tc>
        <w:tc>
          <w:tcPr>
            <w:tcW w:w="1720" w:type="dxa"/>
            <w:shd w:val="clear" w:color="auto" w:fill="FFFFFF"/>
            <w:vAlign w:val="center"/>
          </w:tcPr>
          <w:p>
            <w:pPr>
              <w:overflowPunct w:val="0"/>
              <w:jc w:val="left"/>
              <w:rPr>
                <w:color w:val="auto"/>
                <w:kern w:val="0"/>
                <w:sz w:val="22"/>
              </w:rPr>
            </w:pPr>
            <w:r>
              <w:rPr>
                <w:rFonts w:hint="eastAsia"/>
                <w:color w:val="auto"/>
                <w:kern w:val="0"/>
                <w:sz w:val="22"/>
              </w:rPr>
              <w:t>禁忌证</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如适用，通过风险/受益评估后，针对某些疾病、情况或特定的人群（如儿童、老年人、孕妇及哺乳期妇女、肝肾功能不全者），认为不推荐使用该产品，应当明确说明。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CH2.5</w:t>
            </w:r>
          </w:p>
        </w:tc>
        <w:tc>
          <w:tcPr>
            <w:tcW w:w="1720" w:type="dxa"/>
            <w:shd w:val="clear" w:color="auto" w:fill="FFFFFF"/>
            <w:vAlign w:val="center"/>
          </w:tcPr>
          <w:p>
            <w:pPr>
              <w:overflowPunct w:val="0"/>
              <w:jc w:val="left"/>
              <w:rPr>
                <w:color w:val="auto"/>
                <w:kern w:val="0"/>
                <w:sz w:val="22"/>
              </w:rPr>
            </w:pPr>
            <w:r>
              <w:rPr>
                <w:rFonts w:hint="eastAsia"/>
                <w:color w:val="auto"/>
                <w:kern w:val="0"/>
                <w:sz w:val="22"/>
              </w:rPr>
              <w:t>申报产品上市历史</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N</w:t>
            </w:r>
            <w:r>
              <w:rPr>
                <w:color w:val="auto"/>
                <w:kern w:val="0"/>
                <w:sz w:val="22"/>
              </w:rPr>
              <w:t>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725"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CH2.5</w:t>
            </w:r>
            <w:r>
              <w:rPr>
                <w:rFonts w:hint="eastAsia"/>
                <w:b/>
                <w:bCs/>
                <w:color w:val="auto"/>
                <w:kern w:val="0"/>
                <w:sz w:val="22"/>
              </w:rPr>
              <w:t>.1</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上市情况</w:t>
            </w:r>
          </w:p>
        </w:tc>
        <w:tc>
          <w:tcPr>
            <w:tcW w:w="710" w:type="dxa"/>
            <w:shd w:val="clear" w:color="auto" w:fill="FFFFFF"/>
            <w:vAlign w:val="center"/>
          </w:tcPr>
          <w:p>
            <w:pPr>
              <w:overflowPunct w:val="0"/>
              <w:jc w:val="center"/>
              <w:rPr>
                <w:color w:val="auto"/>
                <w:kern w:val="0"/>
                <w:sz w:val="22"/>
              </w:rPr>
            </w:pPr>
            <w:r>
              <w:rPr>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截至提交注册申请前，申报产品在各国家或地区的上市批准时间、销售情况。若申报产品在不同国家或地区上市时有差异（如设计、标签、技术参数等），应当逐一描述。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8"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CH2.5</w:t>
            </w:r>
            <w:r>
              <w:rPr>
                <w:rFonts w:hint="eastAsia"/>
                <w:b/>
                <w:bCs/>
                <w:color w:val="auto"/>
                <w:kern w:val="0"/>
                <w:sz w:val="22"/>
              </w:rPr>
              <w:t>.2</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不良事件和召回</w:t>
            </w:r>
          </w:p>
        </w:tc>
        <w:tc>
          <w:tcPr>
            <w:tcW w:w="710" w:type="dxa"/>
            <w:shd w:val="clear" w:color="auto" w:fill="FFFFFF"/>
            <w:vAlign w:val="center"/>
          </w:tcPr>
          <w:p>
            <w:pPr>
              <w:overflowPunct w:val="0"/>
              <w:jc w:val="center"/>
              <w:rPr>
                <w:color w:val="auto"/>
                <w:kern w:val="0"/>
                <w:sz w:val="22"/>
              </w:rPr>
            </w:pPr>
            <w:r>
              <w:rPr>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如适用，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pPr>
              <w:overflowPunct w:val="0"/>
              <w:jc w:val="left"/>
              <w:rPr>
                <w:color w:val="auto"/>
                <w:kern w:val="0"/>
                <w:sz w:val="22"/>
              </w:rPr>
            </w:pPr>
            <w:r>
              <w:rPr>
                <w:rFonts w:hint="eastAsia"/>
                <w:color w:val="auto"/>
                <w:kern w:val="0"/>
                <w:sz w:val="22"/>
              </w:rPr>
              <w:t>同时，应当对上述不良事件、召回进行分析评价，阐明不良事件、召回发生的原因并对其安全性、有效性的影响予以说明。若不良事件、召回数量大，应当根据事件类型总结每个类型涉及的数量。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339"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CH2.5</w:t>
            </w:r>
            <w:r>
              <w:rPr>
                <w:rFonts w:hint="eastAsia"/>
                <w:b/>
                <w:bCs/>
                <w:color w:val="auto"/>
                <w:kern w:val="0"/>
                <w:sz w:val="22"/>
              </w:rPr>
              <w:t>.3</w:t>
            </w:r>
          </w:p>
        </w:tc>
        <w:tc>
          <w:tcPr>
            <w:tcW w:w="1720" w:type="dxa"/>
            <w:shd w:val="clear" w:color="auto" w:fill="FFFFFF"/>
            <w:vAlign w:val="center"/>
          </w:tcPr>
          <w:p>
            <w:pPr>
              <w:overflowPunct w:val="0"/>
              <w:jc w:val="left"/>
              <w:rPr>
                <w:color w:val="auto"/>
                <w:kern w:val="0"/>
                <w:sz w:val="22"/>
              </w:rPr>
            </w:pPr>
            <w:r>
              <w:rPr>
                <w:rFonts w:hint="eastAsia"/>
                <w:color w:val="auto"/>
                <w:kern w:val="0"/>
                <w:sz w:val="22"/>
              </w:rPr>
              <w:t>销售、不良事件及召回率</w:t>
            </w:r>
          </w:p>
        </w:tc>
        <w:tc>
          <w:tcPr>
            <w:tcW w:w="710" w:type="dxa"/>
            <w:shd w:val="clear" w:color="auto" w:fill="FFFFFF"/>
            <w:vAlign w:val="center"/>
          </w:tcPr>
          <w:p>
            <w:pPr>
              <w:overflowPunct w:val="0"/>
              <w:jc w:val="center"/>
              <w:rPr>
                <w:color w:val="auto"/>
                <w:kern w:val="0"/>
                <w:sz w:val="22"/>
              </w:rPr>
            </w:pPr>
            <w:r>
              <w:rPr>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如适用，应当提交申报产品近五年在各国家（地区）销售数量的总结，按以下方式提供在各国家（地区）的不良事件、召回比率，并进行比率计算关键分析。</w:t>
            </w:r>
          </w:p>
          <w:p>
            <w:pPr>
              <w:overflowPunct w:val="0"/>
              <w:jc w:val="left"/>
              <w:rPr>
                <w:color w:val="auto"/>
                <w:kern w:val="0"/>
                <w:sz w:val="22"/>
              </w:rPr>
            </w:pPr>
            <w:r>
              <w:rPr>
                <w:rFonts w:hint="eastAsia"/>
                <w:color w:val="auto"/>
                <w:kern w:val="0"/>
                <w:sz w:val="22"/>
              </w:rPr>
              <w:t>如：不良事件发生率＝不良事件数量÷销售数量×100%，召回发生率＝召回数量÷销售数量×100%。发生率可以采用每使用患者年或每使用进行计算，申请人应当描述发生率计算方法。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388"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CH2.</w:t>
            </w:r>
            <w:r>
              <w:rPr>
                <w:rFonts w:hint="eastAsia"/>
                <w:b/>
                <w:bCs/>
                <w:color w:val="auto"/>
                <w:kern w:val="0"/>
                <w:sz w:val="22"/>
              </w:rPr>
              <w:t>6</w:t>
            </w:r>
          </w:p>
        </w:tc>
        <w:tc>
          <w:tcPr>
            <w:tcW w:w="1720" w:type="dxa"/>
            <w:shd w:val="clear" w:color="auto" w:fill="FFFFFF"/>
            <w:vAlign w:val="center"/>
          </w:tcPr>
          <w:p>
            <w:pPr>
              <w:overflowPunct w:val="0"/>
              <w:jc w:val="left"/>
              <w:rPr>
                <w:color w:val="auto"/>
                <w:kern w:val="0"/>
                <w:sz w:val="22"/>
              </w:rPr>
            </w:pPr>
            <w:r>
              <w:rPr>
                <w:rFonts w:hint="eastAsia"/>
                <w:color w:val="auto"/>
                <w:kern w:val="0"/>
                <w:sz w:val="22"/>
              </w:rPr>
              <w:t>其他需说明的内容</w:t>
            </w:r>
          </w:p>
        </w:tc>
        <w:tc>
          <w:tcPr>
            <w:tcW w:w="710" w:type="dxa"/>
            <w:shd w:val="clear" w:color="auto" w:fill="FFFFFF"/>
            <w:vAlign w:val="center"/>
          </w:tcPr>
          <w:p>
            <w:pPr>
              <w:overflowPunct w:val="0"/>
              <w:jc w:val="center"/>
              <w:rPr>
                <w:color w:val="auto"/>
                <w:kern w:val="0"/>
                <w:sz w:val="22"/>
              </w:rPr>
            </w:pPr>
            <w:r>
              <w:rPr>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（1）如适用，明确与申报产品联合使用实现预期用途的其他产品的详细信息。</w:t>
            </w:r>
          </w:p>
          <w:p>
            <w:pPr>
              <w:overflowPunct w:val="0"/>
              <w:jc w:val="left"/>
              <w:rPr>
                <w:color w:val="auto"/>
                <w:kern w:val="0"/>
                <w:sz w:val="22"/>
              </w:rPr>
            </w:pPr>
            <w:r>
              <w:rPr>
                <w:rFonts w:hint="eastAsia"/>
                <w:color w:val="auto"/>
                <w:kern w:val="0"/>
                <w:sz w:val="22"/>
              </w:rPr>
              <w:t>（2）对于已获得批准的部件或配合使用的附件，应当提供注册证编号和国家药监局官方网站公布的注册证信息。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0163" w:type="dxa"/>
            <w:gridSpan w:val="4"/>
            <w:shd w:val="clear" w:color="auto" w:fill="FFFFFF"/>
            <w:vAlign w:val="center"/>
          </w:tcPr>
          <w:p>
            <w:pPr>
              <w:overflowPunct w:val="0"/>
              <w:jc w:val="center"/>
              <w:rPr>
                <w:b/>
                <w:color w:val="auto"/>
                <w:kern w:val="0"/>
                <w:sz w:val="22"/>
              </w:rPr>
            </w:pPr>
            <w:r>
              <w:rPr>
                <w:b/>
                <w:color w:val="auto"/>
                <w:kern w:val="0"/>
                <w:sz w:val="22"/>
              </w:rPr>
              <w:t>第3章——非临床资料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27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CH3.1</w:t>
            </w:r>
          </w:p>
        </w:tc>
        <w:tc>
          <w:tcPr>
            <w:tcW w:w="1720" w:type="dxa"/>
            <w:shd w:val="clear" w:color="auto" w:fill="FFFFFF"/>
            <w:vAlign w:val="center"/>
          </w:tcPr>
          <w:p>
            <w:pPr>
              <w:overflowPunct w:val="0"/>
              <w:jc w:val="left"/>
              <w:rPr>
                <w:color w:val="auto"/>
                <w:kern w:val="0"/>
                <w:sz w:val="22"/>
              </w:rPr>
            </w:pPr>
            <w:r>
              <w:rPr>
                <w:color w:val="auto"/>
                <w:kern w:val="0"/>
                <w:sz w:val="22"/>
              </w:rPr>
              <w:t>章节目录</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包括本章的所有标题及小标题，注明目录中各内容页码。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CH3.2</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产品风险管理资料</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N</w:t>
            </w:r>
            <w:r>
              <w:rPr>
                <w:color w:val="auto"/>
                <w:kern w:val="0"/>
                <w:sz w:val="22"/>
              </w:rPr>
              <w:t>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CH3.2</w:t>
            </w:r>
            <w:r>
              <w:rPr>
                <w:rFonts w:hint="eastAsia"/>
                <w:b/>
                <w:bCs/>
                <w:color w:val="auto"/>
                <w:kern w:val="0"/>
                <w:sz w:val="22"/>
              </w:rPr>
              <w:t>.1</w:t>
            </w:r>
          </w:p>
        </w:tc>
        <w:tc>
          <w:tcPr>
            <w:tcW w:w="1720" w:type="dxa"/>
            <w:shd w:val="clear" w:color="auto" w:fill="FFFFFF"/>
            <w:vAlign w:val="center"/>
          </w:tcPr>
          <w:p>
            <w:pPr>
              <w:overflowPunct w:val="0"/>
              <w:jc w:val="left"/>
              <w:rPr>
                <w:color w:val="auto"/>
                <w:kern w:val="0"/>
                <w:sz w:val="22"/>
              </w:rPr>
            </w:pPr>
            <w:r>
              <w:rPr>
                <w:rFonts w:hint="eastAsia"/>
                <w:color w:val="auto"/>
                <w:kern w:val="0"/>
                <w:sz w:val="22"/>
              </w:rPr>
              <w:t>风险分析</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包括医疗器械适用范围和与安全性有关特征的识别、危害的识别、估计每个危害处境的风险。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CH3.2</w:t>
            </w:r>
            <w:r>
              <w:rPr>
                <w:rFonts w:hint="eastAsia"/>
                <w:b/>
                <w:bCs/>
                <w:color w:val="auto"/>
                <w:kern w:val="0"/>
                <w:sz w:val="22"/>
              </w:rPr>
              <w:t>.2</w:t>
            </w:r>
          </w:p>
        </w:tc>
        <w:tc>
          <w:tcPr>
            <w:tcW w:w="1720" w:type="dxa"/>
            <w:shd w:val="clear" w:color="auto" w:fill="FFFFFF"/>
            <w:vAlign w:val="center"/>
          </w:tcPr>
          <w:p>
            <w:pPr>
              <w:overflowPunct w:val="0"/>
              <w:jc w:val="left"/>
              <w:rPr>
                <w:color w:val="auto"/>
                <w:kern w:val="0"/>
                <w:sz w:val="22"/>
              </w:rPr>
            </w:pPr>
            <w:r>
              <w:rPr>
                <w:rFonts w:hint="eastAsia"/>
                <w:color w:val="auto"/>
                <w:kern w:val="0"/>
                <w:sz w:val="22"/>
              </w:rPr>
              <w:t>风险评价</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对于每个已识别的危害处境，评价和决定是否需要降低风险，若需要，描述如何进行相应风险控制。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CH3.2</w:t>
            </w:r>
            <w:r>
              <w:rPr>
                <w:rFonts w:hint="eastAsia"/>
                <w:b/>
                <w:bCs/>
                <w:color w:val="auto"/>
                <w:kern w:val="0"/>
                <w:sz w:val="22"/>
              </w:rPr>
              <w:t>.3</w:t>
            </w:r>
          </w:p>
        </w:tc>
        <w:tc>
          <w:tcPr>
            <w:tcW w:w="1720" w:type="dxa"/>
            <w:shd w:val="clear" w:color="auto" w:fill="FFFFFF"/>
            <w:vAlign w:val="center"/>
          </w:tcPr>
          <w:p>
            <w:pPr>
              <w:overflowPunct w:val="0"/>
              <w:jc w:val="left"/>
              <w:rPr>
                <w:color w:val="auto"/>
                <w:kern w:val="0"/>
                <w:sz w:val="22"/>
              </w:rPr>
            </w:pPr>
            <w:r>
              <w:rPr>
                <w:rFonts w:hint="eastAsia"/>
                <w:color w:val="auto"/>
                <w:kern w:val="0"/>
                <w:sz w:val="22"/>
              </w:rPr>
              <w:t>风险控制</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描述为降低风险所执行风险控制的相关内容。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CH3.2</w:t>
            </w:r>
            <w:r>
              <w:rPr>
                <w:rFonts w:hint="eastAsia"/>
                <w:b/>
                <w:bCs/>
                <w:color w:val="auto"/>
                <w:kern w:val="0"/>
                <w:sz w:val="22"/>
              </w:rPr>
              <w:t>.4</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任何一个或多个剩余风险的可接受性评定</w:t>
            </w:r>
          </w:p>
        </w:tc>
        <w:tc>
          <w:tcPr>
            <w:tcW w:w="710" w:type="dxa"/>
            <w:shd w:val="clear" w:color="auto" w:fill="FFFFFF"/>
            <w:vAlign w:val="center"/>
          </w:tcPr>
          <w:p>
            <w:pPr>
              <w:overflowPunct w:val="0"/>
              <w:jc w:val="center"/>
              <w:rPr>
                <w:color w:val="auto"/>
                <w:kern w:val="0"/>
                <w:sz w:val="22"/>
              </w:rPr>
            </w:pPr>
            <w:r>
              <w:rPr>
                <w:color w:val="auto"/>
                <w:kern w:val="0"/>
                <w:sz w:val="22"/>
              </w:rPr>
              <w:t>CR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CH3.2</w:t>
            </w:r>
            <w:r>
              <w:rPr>
                <w:rFonts w:hint="eastAsia"/>
                <w:b/>
                <w:bCs/>
                <w:color w:val="auto"/>
                <w:kern w:val="0"/>
                <w:sz w:val="22"/>
              </w:rPr>
              <w:t>.5</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与产品受益相比，综合评价产品风险可接受</w:t>
            </w:r>
          </w:p>
        </w:tc>
        <w:tc>
          <w:tcPr>
            <w:tcW w:w="710" w:type="dxa"/>
            <w:shd w:val="clear" w:color="auto" w:fill="FFFFFF"/>
            <w:vAlign w:val="center"/>
          </w:tcPr>
          <w:p>
            <w:pPr>
              <w:overflowPunct w:val="0"/>
              <w:jc w:val="center"/>
              <w:rPr>
                <w:color w:val="auto"/>
                <w:kern w:val="0"/>
                <w:sz w:val="22"/>
              </w:rPr>
            </w:pPr>
            <w:r>
              <w:rPr>
                <w:color w:val="auto"/>
                <w:kern w:val="0"/>
                <w:sz w:val="22"/>
              </w:rPr>
              <w:t>CR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CH3.3</w:t>
            </w:r>
          </w:p>
        </w:tc>
        <w:tc>
          <w:tcPr>
            <w:tcW w:w="1720" w:type="dxa"/>
            <w:shd w:val="clear" w:color="auto" w:fill="FFFFFF"/>
            <w:vAlign w:val="center"/>
          </w:tcPr>
          <w:p>
            <w:pPr>
              <w:overflowPunct w:val="0"/>
              <w:jc w:val="left"/>
              <w:rPr>
                <w:color w:val="auto"/>
                <w:kern w:val="0"/>
                <w:sz w:val="22"/>
              </w:rPr>
            </w:pPr>
            <w:r>
              <w:rPr>
                <w:rFonts w:hint="eastAsia"/>
                <w:color w:val="auto"/>
                <w:kern w:val="0"/>
                <w:sz w:val="22"/>
              </w:rPr>
              <w:t>医疗器械安全和性能基本原则清单</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说明产品符合《医疗器械安全和性能基本原则清单》（详见附表2）各项适用要求所采用的方法，以及证明其符合性的文件。对于《医疗器械安全和性能基本原则清单》中不适用的各项要求，应当说明理由。</w:t>
            </w:r>
          </w:p>
          <w:p>
            <w:pPr>
              <w:overflowPunct w:val="0"/>
              <w:jc w:val="left"/>
              <w:rPr>
                <w:color w:val="auto"/>
                <w:kern w:val="0"/>
                <w:sz w:val="22"/>
              </w:rPr>
            </w:pPr>
            <w:r>
              <w:rPr>
                <w:rFonts w:hint="eastAsia"/>
                <w:color w:val="auto"/>
                <w:kern w:val="0"/>
                <w:sz w:val="22"/>
              </w:rPr>
              <w:t>对于包含在产品注册申报资料中的文件，应当说明其在申报资料中的具体位置；对于未包含在产品注册申报资料中的文件，应当注明该证据文件名称及其在质量管理体系文件中的编号备查。具体清单详见附表2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CH3.4</w:t>
            </w:r>
          </w:p>
        </w:tc>
        <w:tc>
          <w:tcPr>
            <w:tcW w:w="1720" w:type="dxa"/>
            <w:shd w:val="clear" w:color="auto" w:fill="FFFFFF"/>
            <w:vAlign w:val="center"/>
          </w:tcPr>
          <w:p>
            <w:pPr>
              <w:overflowPunct w:val="0"/>
              <w:jc w:val="left"/>
              <w:rPr>
                <w:color w:val="auto"/>
                <w:kern w:val="0"/>
                <w:sz w:val="22"/>
              </w:rPr>
            </w:pPr>
            <w:r>
              <w:rPr>
                <w:rFonts w:hint="eastAsia" w:ascii="宋体" w:hAnsi="宋体"/>
                <w:color w:val="auto"/>
                <w:sz w:val="24"/>
              </w:rPr>
              <w:t>产品技术要求及检验报告</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N</w:t>
            </w:r>
            <w:r>
              <w:rPr>
                <w:color w:val="auto"/>
                <w:kern w:val="0"/>
                <w:sz w:val="22"/>
              </w:rPr>
              <w:t>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08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CH3.4</w:t>
            </w:r>
            <w:r>
              <w:rPr>
                <w:rFonts w:hint="eastAsia"/>
                <w:b/>
                <w:bCs/>
                <w:color w:val="auto"/>
                <w:kern w:val="0"/>
                <w:sz w:val="22"/>
              </w:rPr>
              <w:t>.1</w:t>
            </w:r>
          </w:p>
        </w:tc>
        <w:tc>
          <w:tcPr>
            <w:tcW w:w="1720" w:type="dxa"/>
            <w:shd w:val="clear" w:color="auto" w:fill="FFFFFF"/>
            <w:vAlign w:val="center"/>
          </w:tcPr>
          <w:p>
            <w:pPr>
              <w:overflowPunct w:val="0"/>
              <w:jc w:val="left"/>
              <w:rPr>
                <w:rFonts w:ascii="宋体" w:hAnsi="宋体"/>
                <w:color w:val="auto"/>
                <w:sz w:val="24"/>
              </w:rPr>
            </w:pPr>
            <w:r>
              <w:rPr>
                <w:rFonts w:hint="eastAsia"/>
                <w:color w:val="auto"/>
                <w:kern w:val="0"/>
                <w:sz w:val="22"/>
              </w:rPr>
              <w:t>申报产品适用标准情况</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申报产品应当符合适用的强制性标准。对于强制性行业标准，若申报产品结构特征、预期用途、使用方式等与强制性标准的适用范围不一致，申请人应当提出不适用强制性标准的说明，并提供经验证的证明性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CH3.4</w:t>
            </w:r>
            <w:r>
              <w:rPr>
                <w:rFonts w:hint="eastAsia"/>
                <w:b/>
                <w:bCs/>
                <w:color w:val="auto"/>
                <w:kern w:val="0"/>
                <w:sz w:val="22"/>
              </w:rPr>
              <w:t>.2</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产品技术要求</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①医疗器械产品技术要求应当按照相关要求的规定编制；</w:t>
            </w:r>
          </w:p>
          <w:p>
            <w:pPr>
              <w:overflowPunct w:val="0"/>
              <w:jc w:val="left"/>
              <w:rPr>
                <w:color w:val="auto"/>
                <w:kern w:val="0"/>
                <w:sz w:val="22"/>
              </w:rPr>
            </w:pPr>
            <w:r>
              <w:rPr>
                <w:rFonts w:hint="eastAsia"/>
                <w:color w:val="auto"/>
                <w:kern w:val="0"/>
                <w:sz w:val="22"/>
              </w:rPr>
              <w:t>②提供产品技术要求及产品技术要求一致性声明，产品技术要求名称与申请表中产品名称一致。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08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CH3.4</w:t>
            </w:r>
            <w:r>
              <w:rPr>
                <w:rFonts w:hint="eastAsia"/>
                <w:b/>
                <w:bCs/>
                <w:color w:val="auto"/>
                <w:kern w:val="0"/>
                <w:sz w:val="22"/>
              </w:rPr>
              <w:t>.3</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产品检验报告</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①以申请人为主体出具的产品检验报告原件，产品检验报告名称与申请表中产品名称一致；</w:t>
            </w:r>
          </w:p>
          <w:p>
            <w:pPr>
              <w:overflowPunct w:val="0"/>
              <w:jc w:val="left"/>
              <w:rPr>
                <w:color w:val="auto"/>
                <w:kern w:val="0"/>
                <w:sz w:val="22"/>
              </w:rPr>
            </w:pPr>
            <w:r>
              <w:rPr>
                <w:rFonts w:hint="eastAsia"/>
                <w:color w:val="auto"/>
                <w:kern w:val="0"/>
                <w:sz w:val="22"/>
              </w:rPr>
              <w:t>②申请人出具的自检报告需按《医疗器械注册自检管理规定》要求提交；</w:t>
            </w:r>
          </w:p>
          <w:p>
            <w:pPr>
              <w:overflowPunct w:val="0"/>
              <w:jc w:val="left"/>
              <w:rPr>
                <w:color w:val="auto"/>
                <w:kern w:val="0"/>
                <w:sz w:val="22"/>
              </w:rPr>
            </w:pPr>
            <w:r>
              <w:rPr>
                <w:rFonts w:hint="eastAsia"/>
                <w:color w:val="auto"/>
                <w:kern w:val="0"/>
                <w:sz w:val="22"/>
              </w:rPr>
              <w:t>③如委托有资质的医疗器械检验机构出具的检验报告，还应当提供检验检测机构CMA资质证明。</w:t>
            </w:r>
          </w:p>
          <w:p>
            <w:pPr>
              <w:overflowPunct w:val="0"/>
              <w:jc w:val="left"/>
              <w:rPr>
                <w:color w:val="auto"/>
                <w:kern w:val="0"/>
                <w:sz w:val="22"/>
              </w:rPr>
            </w:pPr>
            <w:r>
              <w:rPr>
                <w:rFonts w:hint="eastAsia"/>
                <w:color w:val="auto"/>
                <w:kern w:val="0"/>
                <w:sz w:val="22"/>
              </w:rPr>
              <w:t>④在外省研制的产品来我省申请注册的，均应提交在湖南省内生产的产品注册检验报告。注册证生产地址为湖南省内注册人生产地址。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w:t>
            </w:r>
            <w:r>
              <w:rPr>
                <w:rFonts w:hint="eastAsia"/>
                <w:b/>
                <w:bCs/>
                <w:color w:val="auto"/>
                <w:kern w:val="0"/>
                <w:sz w:val="22"/>
              </w:rPr>
              <w:t>5</w:t>
            </w:r>
          </w:p>
        </w:tc>
        <w:tc>
          <w:tcPr>
            <w:tcW w:w="1720" w:type="dxa"/>
            <w:shd w:val="clear" w:color="auto" w:fill="FFFFFF"/>
            <w:vAlign w:val="center"/>
          </w:tcPr>
          <w:p>
            <w:pPr>
              <w:overflowPunct w:val="0"/>
              <w:jc w:val="left"/>
              <w:rPr>
                <w:color w:val="auto"/>
                <w:kern w:val="0"/>
                <w:sz w:val="22"/>
              </w:rPr>
            </w:pPr>
            <w:r>
              <w:rPr>
                <w:rFonts w:hint="eastAsia"/>
                <w:color w:val="auto"/>
                <w:kern w:val="0"/>
                <w:sz w:val="22"/>
              </w:rPr>
              <w:t>研究资料</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N</w:t>
            </w:r>
            <w:r>
              <w:rPr>
                <w:color w:val="auto"/>
                <w:kern w:val="0"/>
                <w:sz w:val="22"/>
              </w:rPr>
              <w:t>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CH3.5.1</w:t>
            </w:r>
          </w:p>
        </w:tc>
        <w:tc>
          <w:tcPr>
            <w:tcW w:w="1720" w:type="dxa"/>
            <w:shd w:val="clear" w:color="auto" w:fill="FFFFFF"/>
            <w:vAlign w:val="center"/>
          </w:tcPr>
          <w:p>
            <w:pPr>
              <w:overflowPunct w:val="0"/>
              <w:jc w:val="left"/>
              <w:rPr>
                <w:color w:val="auto"/>
                <w:kern w:val="0"/>
                <w:sz w:val="22"/>
              </w:rPr>
            </w:pPr>
            <w:r>
              <w:rPr>
                <w:rFonts w:hint="eastAsia"/>
                <w:color w:val="auto"/>
                <w:kern w:val="0"/>
                <w:sz w:val="22"/>
              </w:rPr>
              <w:t>化学和物理性能研究</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①应当提供产品化学/材料表征、物理和/或机械性能指标的确定依据、设计输入来源以及临床意义，所采用的标准或方法、采用的原因及理论基础。</w:t>
            </w:r>
          </w:p>
          <w:p>
            <w:pPr>
              <w:overflowPunct w:val="0"/>
              <w:jc w:val="left"/>
              <w:rPr>
                <w:color w:val="auto"/>
                <w:kern w:val="0"/>
                <w:sz w:val="22"/>
              </w:rPr>
            </w:pPr>
            <w:r>
              <w:rPr>
                <w:rFonts w:hint="eastAsia"/>
                <w:color w:val="auto"/>
                <w:kern w:val="0"/>
                <w:sz w:val="22"/>
              </w:rPr>
              <w:t>②燃爆风险</w:t>
            </w:r>
          </w:p>
          <w:p>
            <w:pPr>
              <w:overflowPunct w:val="0"/>
              <w:jc w:val="left"/>
              <w:rPr>
                <w:color w:val="auto"/>
                <w:kern w:val="0"/>
                <w:sz w:val="22"/>
              </w:rPr>
            </w:pPr>
            <w:r>
              <w:rPr>
                <w:rFonts w:hint="eastAsia"/>
                <w:color w:val="auto"/>
                <w:kern w:val="0"/>
                <w:sz w:val="22"/>
              </w:rPr>
              <w:t>对于暴露于易燃、易爆物质或与其他可燃物、致燃物联合使用的医疗器械，应当提供燃爆风险研究资料，证明在正常状态及单一故障状态下，燃爆风险可接受。</w:t>
            </w:r>
          </w:p>
          <w:p>
            <w:pPr>
              <w:overflowPunct w:val="0"/>
              <w:jc w:val="left"/>
              <w:rPr>
                <w:color w:val="auto"/>
                <w:kern w:val="0"/>
                <w:sz w:val="22"/>
              </w:rPr>
            </w:pPr>
            <w:r>
              <w:rPr>
                <w:rFonts w:hint="eastAsia"/>
                <w:color w:val="auto"/>
                <w:kern w:val="0"/>
                <w:sz w:val="22"/>
              </w:rPr>
              <w:t>③联合使用</w:t>
            </w:r>
          </w:p>
          <w:p>
            <w:pPr>
              <w:overflowPunct w:val="0"/>
              <w:jc w:val="left"/>
              <w:rPr>
                <w:color w:val="auto"/>
                <w:kern w:val="0"/>
                <w:sz w:val="22"/>
              </w:rPr>
            </w:pPr>
            <w:r>
              <w:rPr>
                <w:rFonts w:hint="eastAsia"/>
                <w:color w:val="auto"/>
                <w:kern w:val="0"/>
                <w:sz w:val="22"/>
              </w:rPr>
              <w:t>如申报产品预期与其他医疗器械、药品、非医疗器械产品联合使用实现同一预期用途，应当提供证明联合使用安全有效的研究资料，包括互联基本信息（连接类型、接口、协议、最低性能）、联合使用风险及控制措施、联合使用上的限制，兼容性研究等。</w:t>
            </w:r>
          </w:p>
          <w:p>
            <w:pPr>
              <w:overflowPunct w:val="0"/>
              <w:jc w:val="left"/>
              <w:rPr>
                <w:color w:val="auto"/>
                <w:kern w:val="0"/>
                <w:sz w:val="22"/>
              </w:rPr>
            </w:pPr>
            <w:r>
              <w:rPr>
                <w:rFonts w:hint="eastAsia"/>
                <w:color w:val="auto"/>
                <w:kern w:val="0"/>
                <w:sz w:val="22"/>
              </w:rPr>
              <w:t>联合药物使用的，应当提供药物相容性研究资料，证明药品和器械联合使用的性能符合其适应证和预期用途。</w:t>
            </w:r>
          </w:p>
          <w:p>
            <w:pPr>
              <w:overflowPunct w:val="0"/>
              <w:jc w:val="left"/>
              <w:rPr>
                <w:color w:val="auto"/>
                <w:kern w:val="0"/>
                <w:sz w:val="22"/>
              </w:rPr>
            </w:pPr>
            <w:r>
              <w:rPr>
                <w:rFonts w:hint="eastAsia"/>
                <w:color w:val="auto"/>
                <w:kern w:val="0"/>
                <w:sz w:val="22"/>
              </w:rPr>
              <w:t>④量效关系和能量安全</w:t>
            </w:r>
          </w:p>
          <w:p>
            <w:pPr>
              <w:overflowPunct w:val="0"/>
              <w:jc w:val="left"/>
              <w:rPr>
                <w:color w:val="auto"/>
                <w:kern w:val="0"/>
                <w:sz w:val="22"/>
              </w:rPr>
            </w:pPr>
            <w:r>
              <w:rPr>
                <w:rFonts w:hint="eastAsia"/>
                <w:color w:val="auto"/>
                <w:kern w:val="0"/>
                <w:sz w:val="22"/>
              </w:rPr>
              <w:t>对于向患者提供能量或物质治疗的医疗器械，应当提供量效关系和能量安全性研究资料，提供证明治疗参数设置的安全性、有效性、合理性，以及除预期靶组织外，能量不会对正常组织造成不可接受的伤害的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CH3.5.</w:t>
            </w:r>
            <w:r>
              <w:rPr>
                <w:rFonts w:hint="eastAsia"/>
                <w:b/>
                <w:bCs/>
                <w:color w:val="auto"/>
                <w:kern w:val="0"/>
                <w:sz w:val="22"/>
              </w:rPr>
              <w:t>2</w:t>
            </w:r>
          </w:p>
        </w:tc>
        <w:tc>
          <w:tcPr>
            <w:tcW w:w="1720" w:type="dxa"/>
            <w:shd w:val="clear" w:color="auto" w:fill="FFFFFF"/>
            <w:vAlign w:val="center"/>
          </w:tcPr>
          <w:p>
            <w:pPr>
              <w:overflowPunct w:val="0"/>
              <w:jc w:val="left"/>
              <w:rPr>
                <w:color w:val="auto"/>
                <w:kern w:val="0"/>
                <w:sz w:val="22"/>
              </w:rPr>
            </w:pPr>
            <w:r>
              <w:rPr>
                <w:rFonts w:hint="eastAsia"/>
                <w:color w:val="auto"/>
                <w:kern w:val="0"/>
                <w:sz w:val="22"/>
              </w:rPr>
              <w:t>电气系统安全性研究</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提供电气安全性、机械和环境保护以及电磁兼容性的研究资料，说明适用的标准以及开展的研究。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737"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CH3.5.</w:t>
            </w:r>
            <w:r>
              <w:rPr>
                <w:rFonts w:hint="eastAsia"/>
                <w:b/>
                <w:bCs/>
                <w:color w:val="auto"/>
                <w:kern w:val="0"/>
                <w:sz w:val="22"/>
              </w:rPr>
              <w:t>3</w:t>
            </w:r>
          </w:p>
        </w:tc>
        <w:tc>
          <w:tcPr>
            <w:tcW w:w="1720" w:type="dxa"/>
            <w:shd w:val="clear" w:color="auto" w:fill="FFFFFF"/>
            <w:vAlign w:val="center"/>
          </w:tcPr>
          <w:p>
            <w:pPr>
              <w:overflowPunct w:val="0"/>
              <w:jc w:val="left"/>
              <w:rPr>
                <w:color w:val="auto"/>
                <w:kern w:val="0"/>
                <w:sz w:val="22"/>
              </w:rPr>
            </w:pPr>
            <w:r>
              <w:rPr>
                <w:rFonts w:hint="eastAsia"/>
                <w:color w:val="auto"/>
                <w:kern w:val="0"/>
                <w:sz w:val="22"/>
              </w:rPr>
              <w:t>辐射安全研究</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对于具有辐射或潜在辐射危害（包括电离辐射和非电离辐射）的产品，应当提供辐射安全的研究资料，包括：</w:t>
            </w:r>
          </w:p>
          <w:p>
            <w:pPr>
              <w:overflowPunct w:val="0"/>
              <w:jc w:val="left"/>
              <w:rPr>
                <w:color w:val="auto"/>
                <w:kern w:val="0"/>
                <w:sz w:val="22"/>
              </w:rPr>
            </w:pPr>
            <w:r>
              <w:rPr>
                <w:rFonts w:hint="eastAsia"/>
                <w:color w:val="auto"/>
                <w:kern w:val="0"/>
                <w:sz w:val="22"/>
              </w:rPr>
              <w:t>①说明符合的辐射安全通用及专用标准,对于标准中的不适用条款应详细说明理由；</w:t>
            </w:r>
          </w:p>
          <w:p>
            <w:pPr>
              <w:overflowPunct w:val="0"/>
              <w:jc w:val="left"/>
              <w:rPr>
                <w:color w:val="auto"/>
                <w:kern w:val="0"/>
                <w:sz w:val="22"/>
              </w:rPr>
            </w:pPr>
            <w:r>
              <w:rPr>
                <w:rFonts w:hint="eastAsia"/>
                <w:color w:val="auto"/>
                <w:kern w:val="0"/>
                <w:sz w:val="22"/>
              </w:rPr>
              <w:t>②说明辐射的类型并提供辐射安全验证资料，应确保辐射能量、辐射分布以及其他辐射关键特性能够得到合理的控制和调整，并可在使用过程中进行预估、监控。（如适用）</w:t>
            </w:r>
          </w:p>
          <w:p>
            <w:pPr>
              <w:overflowPunct w:val="0"/>
              <w:jc w:val="left"/>
              <w:rPr>
                <w:color w:val="auto"/>
                <w:kern w:val="0"/>
                <w:sz w:val="22"/>
              </w:rPr>
            </w:pPr>
            <w:r>
              <w:rPr>
                <w:rFonts w:hint="eastAsia"/>
                <w:color w:val="auto"/>
                <w:kern w:val="0"/>
                <w:sz w:val="22"/>
              </w:rPr>
              <w:t>③提供减少使用者、他人和患者在运输、贮存、安装、使用中辐射吸收剂量的防护措施，避免误用的方法。对于需要安装的产品，应当明确有关验收和性能测试、验收标准及维护程序的信息。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0971"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CH3.5.</w:t>
            </w:r>
            <w:r>
              <w:rPr>
                <w:rFonts w:hint="eastAsia"/>
                <w:b/>
                <w:bCs/>
                <w:color w:val="auto"/>
                <w:kern w:val="0"/>
                <w:sz w:val="22"/>
              </w:rPr>
              <w:t>4</w:t>
            </w:r>
          </w:p>
        </w:tc>
        <w:tc>
          <w:tcPr>
            <w:tcW w:w="1720" w:type="dxa"/>
            <w:shd w:val="clear" w:color="auto" w:fill="FFFFFF"/>
            <w:vAlign w:val="center"/>
          </w:tcPr>
          <w:p>
            <w:pPr>
              <w:overflowPunct w:val="0"/>
              <w:jc w:val="left"/>
              <w:rPr>
                <w:color w:val="auto"/>
                <w:kern w:val="0"/>
                <w:sz w:val="22"/>
              </w:rPr>
            </w:pPr>
            <w:r>
              <w:rPr>
                <w:rFonts w:hint="eastAsia"/>
                <w:color w:val="auto"/>
                <w:kern w:val="0"/>
                <w:sz w:val="22"/>
              </w:rPr>
              <w:t>软件研究</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①软件</w:t>
            </w:r>
          </w:p>
          <w:p>
            <w:pPr>
              <w:overflowPunct w:val="0"/>
              <w:jc w:val="left"/>
              <w:rPr>
                <w:color w:val="auto"/>
                <w:kern w:val="0"/>
                <w:sz w:val="22"/>
              </w:rPr>
            </w:pPr>
            <w:r>
              <w:rPr>
                <w:rFonts w:hint="eastAsia"/>
                <w:color w:val="auto"/>
                <w:kern w:val="0"/>
                <w:sz w:val="22"/>
              </w:rPr>
              <w:t>含有软件组件的产品和独立软件，应当提供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pPr>
              <w:overflowPunct w:val="0"/>
              <w:jc w:val="left"/>
              <w:rPr>
                <w:color w:val="auto"/>
                <w:kern w:val="0"/>
                <w:sz w:val="22"/>
              </w:rPr>
            </w:pPr>
            <w:r>
              <w:rPr>
                <w:rFonts w:hint="eastAsia"/>
                <w:color w:val="auto"/>
                <w:kern w:val="0"/>
                <w:sz w:val="22"/>
              </w:rPr>
              <w:t>②网络安全</w:t>
            </w:r>
          </w:p>
          <w:p>
            <w:pPr>
              <w:overflowPunct w:val="0"/>
              <w:jc w:val="left"/>
              <w:rPr>
                <w:color w:val="auto"/>
                <w:kern w:val="0"/>
                <w:sz w:val="22"/>
              </w:rPr>
            </w:pPr>
            <w:r>
              <w:rPr>
                <w:rFonts w:hint="eastAsia"/>
                <w:color w:val="auto"/>
                <w:kern w:val="0"/>
                <w:sz w:val="22"/>
              </w:rPr>
              <w:t>具备电子数据交换、远程控制或用户访问功能的独立软件和含有软件组件的产品，应当提供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pPr>
              <w:overflowPunct w:val="0"/>
              <w:jc w:val="left"/>
              <w:rPr>
                <w:color w:val="auto"/>
                <w:kern w:val="0"/>
                <w:sz w:val="22"/>
              </w:rPr>
            </w:pPr>
            <w:r>
              <w:rPr>
                <w:rFonts w:hint="eastAsia"/>
                <w:color w:val="auto"/>
                <w:kern w:val="0"/>
                <w:sz w:val="22"/>
              </w:rPr>
              <w:t>③现成软件</w:t>
            </w:r>
          </w:p>
          <w:p>
            <w:pPr>
              <w:overflowPunct w:val="0"/>
              <w:jc w:val="left"/>
              <w:rPr>
                <w:color w:val="auto"/>
                <w:kern w:val="0"/>
                <w:sz w:val="22"/>
              </w:rPr>
            </w:pPr>
            <w:r>
              <w:rPr>
                <w:rFonts w:hint="eastAsia"/>
                <w:color w:val="auto"/>
                <w:kern w:val="0"/>
                <w:sz w:val="22"/>
              </w:rPr>
              <w:t>产品若使用现成软件，应当根据现成软件的类型、使用方式等情况提供相应软件研究资料和网络安全研究资料。</w:t>
            </w:r>
          </w:p>
          <w:p>
            <w:pPr>
              <w:overflowPunct w:val="0"/>
              <w:jc w:val="left"/>
              <w:rPr>
                <w:color w:val="auto"/>
                <w:kern w:val="0"/>
                <w:sz w:val="22"/>
              </w:rPr>
            </w:pPr>
            <w:r>
              <w:rPr>
                <w:rFonts w:hint="eastAsia"/>
                <w:color w:val="auto"/>
                <w:kern w:val="0"/>
                <w:sz w:val="22"/>
              </w:rPr>
              <w:t>④人工智能</w:t>
            </w:r>
          </w:p>
          <w:p>
            <w:pPr>
              <w:overflowPunct w:val="0"/>
              <w:jc w:val="left"/>
              <w:rPr>
                <w:color w:val="auto"/>
                <w:kern w:val="0"/>
                <w:sz w:val="22"/>
              </w:rPr>
            </w:pPr>
            <w:r>
              <w:rPr>
                <w:rFonts w:hint="eastAsia"/>
                <w:color w:val="auto"/>
                <w:kern w:val="0"/>
                <w:sz w:val="22"/>
              </w:rPr>
              <w:t>产品若采用深度学习等人工智能技术实现预期功能与用途，应当提供算法研究资料，包括算法基本信息、数据收集、算法训练、算法性能评估等内容。</w:t>
            </w:r>
          </w:p>
          <w:p>
            <w:pPr>
              <w:overflowPunct w:val="0"/>
              <w:jc w:val="left"/>
              <w:rPr>
                <w:color w:val="auto"/>
                <w:kern w:val="0"/>
                <w:sz w:val="22"/>
              </w:rPr>
            </w:pPr>
            <w:r>
              <w:rPr>
                <w:rFonts w:hint="eastAsia"/>
                <w:color w:val="auto"/>
                <w:kern w:val="0"/>
                <w:sz w:val="22"/>
              </w:rPr>
              <w:t>⑤互操作性</w:t>
            </w:r>
          </w:p>
          <w:p>
            <w:pPr>
              <w:overflowPunct w:val="0"/>
              <w:jc w:val="left"/>
              <w:rPr>
                <w:color w:val="auto"/>
                <w:kern w:val="0"/>
                <w:sz w:val="22"/>
              </w:rPr>
            </w:pPr>
            <w:r>
              <w:rPr>
                <w:rFonts w:hint="eastAsia"/>
                <w:color w:val="auto"/>
                <w:kern w:val="0"/>
                <w:sz w:val="22"/>
              </w:rPr>
              <w:t>产品若通过电子接口与其他医疗器械或非医疗器械交换并使用信息，应当提供互操作性研究资料，包括基本信息、需求规范、风险管理、验证与确认、维护计划等内容。</w:t>
            </w:r>
          </w:p>
          <w:p>
            <w:pPr>
              <w:overflowPunct w:val="0"/>
              <w:jc w:val="left"/>
              <w:rPr>
                <w:color w:val="auto"/>
                <w:kern w:val="0"/>
                <w:sz w:val="22"/>
              </w:rPr>
            </w:pPr>
            <w:r>
              <w:rPr>
                <w:rFonts w:hint="eastAsia"/>
                <w:color w:val="auto"/>
                <w:kern w:val="0"/>
                <w:sz w:val="22"/>
              </w:rPr>
              <w:t>⑥其他</w:t>
            </w:r>
          </w:p>
          <w:p>
            <w:pPr>
              <w:overflowPunct w:val="0"/>
              <w:jc w:val="left"/>
              <w:rPr>
                <w:color w:val="auto"/>
                <w:kern w:val="0"/>
                <w:sz w:val="22"/>
              </w:rPr>
            </w:pPr>
            <w:r>
              <w:rPr>
                <w:rFonts w:hint="eastAsia"/>
                <w:color w:val="auto"/>
                <w:kern w:val="0"/>
                <w:sz w:val="22"/>
              </w:rPr>
              <w:t>产品若采用移动计算、云计算、虚拟现实等信息通信技术实现预期功能与用途，应当提供相应技术研究资料，包括基本信息、需求规范、风险管理、验证与确认、维护计划等内容。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CH3.5.</w:t>
            </w:r>
            <w:r>
              <w:rPr>
                <w:rFonts w:hint="eastAsia"/>
                <w:b/>
                <w:bCs/>
                <w:color w:val="auto"/>
                <w:kern w:val="0"/>
                <w:sz w:val="22"/>
              </w:rPr>
              <w:t>5</w:t>
            </w:r>
          </w:p>
        </w:tc>
        <w:tc>
          <w:tcPr>
            <w:tcW w:w="1720" w:type="dxa"/>
            <w:shd w:val="clear" w:color="auto" w:fill="FFFFFF"/>
            <w:vAlign w:val="center"/>
          </w:tcPr>
          <w:p>
            <w:pPr>
              <w:overflowPunct w:val="0"/>
              <w:jc w:val="left"/>
              <w:rPr>
                <w:color w:val="auto"/>
                <w:kern w:val="0"/>
                <w:sz w:val="22"/>
              </w:rPr>
            </w:pPr>
            <w:r>
              <w:rPr>
                <w:rFonts w:hint="eastAsia"/>
                <w:color w:val="auto"/>
                <w:kern w:val="0"/>
                <w:sz w:val="22"/>
              </w:rPr>
              <w:t>生物学特性研究</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对于与患者直接或间接接触的器械，应当进行生物学评价。生物学评价资料应当包括：</w:t>
            </w:r>
          </w:p>
          <w:p>
            <w:pPr>
              <w:overflowPunct w:val="0"/>
              <w:jc w:val="left"/>
              <w:rPr>
                <w:color w:val="auto"/>
                <w:kern w:val="0"/>
                <w:sz w:val="22"/>
              </w:rPr>
            </w:pPr>
            <w:r>
              <w:rPr>
                <w:rFonts w:hint="eastAsia"/>
                <w:color w:val="auto"/>
                <w:kern w:val="0"/>
                <w:sz w:val="22"/>
              </w:rPr>
              <w:t>①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pPr>
              <w:overflowPunct w:val="0"/>
              <w:jc w:val="left"/>
              <w:rPr>
                <w:color w:val="auto"/>
                <w:kern w:val="0"/>
                <w:sz w:val="22"/>
              </w:rPr>
            </w:pPr>
            <w:r>
              <w:rPr>
                <w:rFonts w:hint="eastAsia"/>
                <w:color w:val="auto"/>
                <w:kern w:val="0"/>
                <w:sz w:val="22"/>
              </w:rPr>
              <w:t>②描述申报产品的物理和/或化学信息并考虑材料表征（如适用），如器械的物理作用可能产生生物学风险，应当进行评价。</w:t>
            </w:r>
          </w:p>
          <w:p>
            <w:pPr>
              <w:overflowPunct w:val="0"/>
              <w:jc w:val="left"/>
              <w:rPr>
                <w:color w:val="auto"/>
                <w:kern w:val="0"/>
                <w:sz w:val="22"/>
              </w:rPr>
            </w:pPr>
            <w:r>
              <w:rPr>
                <w:rFonts w:hint="eastAsia"/>
                <w:color w:val="auto"/>
                <w:kern w:val="0"/>
                <w:sz w:val="22"/>
              </w:rPr>
              <w:t>③生物学评价的策略、依据和方法。</w:t>
            </w:r>
          </w:p>
          <w:p>
            <w:pPr>
              <w:overflowPunct w:val="0"/>
              <w:jc w:val="left"/>
              <w:rPr>
                <w:color w:val="auto"/>
                <w:kern w:val="0"/>
                <w:sz w:val="22"/>
              </w:rPr>
            </w:pPr>
            <w:r>
              <w:rPr>
                <w:rFonts w:hint="eastAsia"/>
                <w:color w:val="auto"/>
                <w:kern w:val="0"/>
                <w:sz w:val="22"/>
              </w:rPr>
              <w:t>④已有数据和结果的评价。</w:t>
            </w:r>
          </w:p>
          <w:p>
            <w:pPr>
              <w:overflowPunct w:val="0"/>
              <w:jc w:val="left"/>
              <w:rPr>
                <w:color w:val="auto"/>
                <w:kern w:val="0"/>
                <w:sz w:val="22"/>
              </w:rPr>
            </w:pPr>
            <w:r>
              <w:rPr>
                <w:rFonts w:hint="eastAsia"/>
                <w:color w:val="auto"/>
                <w:kern w:val="0"/>
                <w:sz w:val="22"/>
              </w:rPr>
              <w:t>⑤选择或豁免生物学试验的理由和论证。</w:t>
            </w:r>
          </w:p>
          <w:p>
            <w:pPr>
              <w:overflowPunct w:val="0"/>
              <w:jc w:val="left"/>
              <w:rPr>
                <w:color w:val="auto"/>
                <w:kern w:val="0"/>
                <w:sz w:val="22"/>
              </w:rPr>
            </w:pPr>
            <w:r>
              <w:rPr>
                <w:rFonts w:hint="eastAsia"/>
                <w:color w:val="auto"/>
                <w:kern w:val="0"/>
                <w:sz w:val="22"/>
              </w:rPr>
              <w:t>⑥完成生物学评价所需的其他数据。</w:t>
            </w:r>
          </w:p>
          <w:p>
            <w:pPr>
              <w:overflowPunct w:val="0"/>
              <w:jc w:val="left"/>
              <w:rPr>
                <w:color w:val="auto"/>
                <w:kern w:val="0"/>
                <w:sz w:val="22"/>
              </w:rPr>
            </w:pPr>
            <w:r>
              <w:rPr>
                <w:rFonts w:hint="eastAsia"/>
                <w:color w:val="auto"/>
                <w:kern w:val="0"/>
                <w:sz w:val="22"/>
              </w:rPr>
              <w:t>若医疗器械材料可能释放颗粒进入患者和使用者体内，从而产生与颗粒尺寸和性质相关风险，如纳米材料，对所有包含、产生或由其组成的医疗器械，应当提供相关生物学风险研究资料。</w:t>
            </w:r>
          </w:p>
          <w:p>
            <w:pPr>
              <w:overflowPunct w:val="0"/>
              <w:jc w:val="left"/>
              <w:rPr>
                <w:color w:val="auto"/>
                <w:kern w:val="0"/>
                <w:sz w:val="22"/>
              </w:rPr>
            </w:pPr>
            <w:r>
              <w:rPr>
                <w:rFonts w:hint="eastAsia"/>
                <w:color w:val="auto"/>
                <w:kern w:val="0"/>
                <w:sz w:val="22"/>
              </w:rPr>
              <w:t>若根据申报产品预期用途，其会被人体吸收、代谢，如可吸收产品，应当提供所用材料/物质与人体组织、细胞和体液之间相容性的研究资料。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597"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CH3.5.</w:t>
            </w:r>
            <w:r>
              <w:rPr>
                <w:rFonts w:hint="eastAsia"/>
                <w:b/>
                <w:bCs/>
                <w:color w:val="auto"/>
                <w:kern w:val="0"/>
                <w:sz w:val="22"/>
              </w:rPr>
              <w:t>6</w:t>
            </w:r>
          </w:p>
        </w:tc>
        <w:tc>
          <w:tcPr>
            <w:tcW w:w="1720" w:type="dxa"/>
            <w:shd w:val="clear" w:color="auto" w:fill="FFFFFF"/>
            <w:vAlign w:val="center"/>
          </w:tcPr>
          <w:p>
            <w:pPr>
              <w:overflowPunct w:val="0"/>
              <w:jc w:val="left"/>
              <w:rPr>
                <w:color w:val="auto"/>
                <w:kern w:val="0"/>
                <w:sz w:val="22"/>
              </w:rPr>
            </w:pPr>
            <w:r>
              <w:rPr>
                <w:rFonts w:hint="eastAsia"/>
                <w:color w:val="auto"/>
                <w:kern w:val="0"/>
                <w:sz w:val="22"/>
              </w:rPr>
              <w:t>生物源材料的安全性研究</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对于含有同种异体材料、动物源性材料或生物活性物质等具有生物安全风险的产品，应当提供相应生物安全性研究资料。</w:t>
            </w:r>
          </w:p>
          <w:p>
            <w:pPr>
              <w:overflowPunct w:val="0"/>
              <w:jc w:val="left"/>
              <w:rPr>
                <w:color w:val="auto"/>
                <w:kern w:val="0"/>
                <w:sz w:val="22"/>
              </w:rPr>
            </w:pPr>
            <w:r>
              <w:rPr>
                <w:rFonts w:hint="eastAsia"/>
                <w:color w:val="auto"/>
                <w:kern w:val="0"/>
                <w:sz w:val="22"/>
              </w:rPr>
              <w:t>生物安全性研究资料应当包括：</w:t>
            </w:r>
          </w:p>
          <w:p>
            <w:pPr>
              <w:overflowPunct w:val="0"/>
              <w:jc w:val="left"/>
              <w:rPr>
                <w:color w:val="auto"/>
                <w:kern w:val="0"/>
                <w:sz w:val="22"/>
              </w:rPr>
            </w:pPr>
            <w:r>
              <w:rPr>
                <w:rFonts w:hint="eastAsia"/>
                <w:color w:val="auto"/>
                <w:kern w:val="0"/>
                <w:sz w:val="22"/>
              </w:rPr>
              <w:t>①相应材料或物质的情况，组织、细胞和材料的获取、加工、保存、测试和处理过程。</w:t>
            </w:r>
          </w:p>
          <w:p>
            <w:pPr>
              <w:overflowPunct w:val="0"/>
              <w:jc w:val="left"/>
              <w:rPr>
                <w:color w:val="auto"/>
                <w:kern w:val="0"/>
                <w:sz w:val="22"/>
              </w:rPr>
            </w:pPr>
            <w:r>
              <w:rPr>
                <w:rFonts w:hint="eastAsia"/>
                <w:color w:val="auto"/>
                <w:kern w:val="0"/>
                <w:sz w:val="22"/>
              </w:rPr>
              <w:t>②阐述来源，并说明生产过程中灭活和去除病毒和/或传染性因子的工艺过程，提供有效性验证数据或相关资料。</w:t>
            </w:r>
          </w:p>
          <w:p>
            <w:pPr>
              <w:overflowPunct w:val="0"/>
              <w:jc w:val="left"/>
              <w:rPr>
                <w:color w:val="auto"/>
                <w:kern w:val="0"/>
                <w:sz w:val="22"/>
              </w:rPr>
            </w:pPr>
            <w:r>
              <w:rPr>
                <w:rFonts w:hint="eastAsia"/>
                <w:color w:val="auto"/>
                <w:kern w:val="0"/>
                <w:sz w:val="22"/>
              </w:rPr>
              <w:t>③说明降低免疫原性物质的方法和/或工艺过程，提供质量控制指标与验证性实验数据或相关资料。</w:t>
            </w:r>
          </w:p>
          <w:p>
            <w:pPr>
              <w:overflowPunct w:val="0"/>
              <w:jc w:val="left"/>
              <w:rPr>
                <w:color w:val="auto"/>
                <w:kern w:val="0"/>
                <w:sz w:val="22"/>
              </w:rPr>
            </w:pPr>
            <w:r>
              <w:rPr>
                <w:rFonts w:hint="eastAsia"/>
                <w:color w:val="auto"/>
                <w:kern w:val="0"/>
                <w:sz w:val="22"/>
              </w:rPr>
              <w:t>④支持生物源材料安全性的其他资料。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00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CH3.5.</w:t>
            </w:r>
            <w:r>
              <w:rPr>
                <w:rFonts w:hint="eastAsia"/>
                <w:b/>
                <w:bCs/>
                <w:color w:val="auto"/>
                <w:kern w:val="0"/>
                <w:sz w:val="22"/>
              </w:rPr>
              <w:t>7</w:t>
            </w:r>
          </w:p>
        </w:tc>
        <w:tc>
          <w:tcPr>
            <w:tcW w:w="1720" w:type="dxa"/>
            <w:shd w:val="clear" w:color="auto" w:fill="FFFFFF"/>
            <w:vAlign w:val="center"/>
          </w:tcPr>
          <w:p>
            <w:pPr>
              <w:overflowPunct w:val="0"/>
              <w:jc w:val="left"/>
              <w:rPr>
                <w:color w:val="auto"/>
                <w:kern w:val="0"/>
                <w:sz w:val="22"/>
              </w:rPr>
            </w:pPr>
            <w:r>
              <w:rPr>
                <w:rFonts w:hint="eastAsia"/>
                <w:color w:val="auto"/>
                <w:kern w:val="0"/>
                <w:sz w:val="22"/>
              </w:rPr>
              <w:t>清洁、消毒、灭菌研究</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①生产企业灭菌：应当明确灭菌工艺（方法和参数）和无菌保证水平（SAL），并提供灭菌验证及确认的相关研究资料。</w:t>
            </w:r>
          </w:p>
          <w:p>
            <w:pPr>
              <w:overflowPunct w:val="0"/>
              <w:jc w:val="left"/>
              <w:rPr>
                <w:color w:val="auto"/>
                <w:kern w:val="0"/>
                <w:sz w:val="22"/>
              </w:rPr>
            </w:pPr>
            <w:r>
              <w:rPr>
                <w:rFonts w:hint="eastAsia"/>
                <w:color w:val="auto"/>
                <w:kern w:val="0"/>
                <w:sz w:val="22"/>
              </w:rPr>
              <w:t>②使用者灭菌：应当明确推荐的灭菌工艺（方法和参数）、所推荐灭菌工艺的确定依据以及验证的相关研究资料；对可耐受两次或多次灭菌的产品，应当提供产品所推荐灭菌工艺耐受性的研究资料。</w:t>
            </w:r>
          </w:p>
          <w:p>
            <w:pPr>
              <w:overflowPunct w:val="0"/>
              <w:jc w:val="left"/>
              <w:rPr>
                <w:color w:val="auto"/>
                <w:kern w:val="0"/>
                <w:sz w:val="22"/>
              </w:rPr>
            </w:pPr>
            <w:r>
              <w:rPr>
                <w:rFonts w:hint="eastAsia"/>
                <w:color w:val="auto"/>
                <w:kern w:val="0"/>
                <w:sz w:val="22"/>
              </w:rPr>
              <w:t>③使用者清洁和消毒：应当明确推荐的清洗和消毒工艺（方法和参数）、工艺的确定依据以及验证的相关研究资料。</w:t>
            </w:r>
          </w:p>
          <w:p>
            <w:pPr>
              <w:overflowPunct w:val="0"/>
              <w:jc w:val="left"/>
              <w:rPr>
                <w:color w:val="auto"/>
                <w:kern w:val="0"/>
                <w:sz w:val="22"/>
              </w:rPr>
            </w:pPr>
            <w:r>
              <w:rPr>
                <w:rFonts w:hint="eastAsia"/>
                <w:color w:val="auto"/>
                <w:kern w:val="0"/>
                <w:sz w:val="22"/>
              </w:rPr>
              <w:t>④残留毒性：若产品经灭菌或消毒后可能产生残留物质,应当对灭菌或消毒后的产品进行残留毒性的研究，明确残留物信息及采取的处理方法，并提供相关研究资料。</w:t>
            </w:r>
          </w:p>
          <w:p>
            <w:pPr>
              <w:overflowPunct w:val="0"/>
              <w:jc w:val="left"/>
              <w:rPr>
                <w:color w:val="auto"/>
                <w:kern w:val="0"/>
                <w:sz w:val="22"/>
              </w:rPr>
            </w:pPr>
            <w:r>
              <w:rPr>
                <w:rFonts w:hint="eastAsia"/>
                <w:color w:val="auto"/>
                <w:kern w:val="0"/>
                <w:sz w:val="22"/>
              </w:rPr>
              <w:t>⑤以非无菌状态交付，且使用前需灭菌的医疗器械，应当提供证明包装能减少产品受到微生物污染的风险，且适用于生产企业规定灭菌方法的研究资料。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CH3.5.</w:t>
            </w:r>
            <w:r>
              <w:rPr>
                <w:rFonts w:hint="eastAsia"/>
                <w:b/>
                <w:bCs/>
                <w:color w:val="auto"/>
                <w:kern w:val="0"/>
                <w:sz w:val="22"/>
              </w:rPr>
              <w:t>8</w:t>
            </w:r>
          </w:p>
        </w:tc>
        <w:tc>
          <w:tcPr>
            <w:tcW w:w="1720" w:type="dxa"/>
            <w:shd w:val="clear" w:color="auto" w:fill="FFFFFF"/>
            <w:vAlign w:val="center"/>
          </w:tcPr>
          <w:p>
            <w:pPr>
              <w:overflowPunct w:val="0"/>
              <w:jc w:val="left"/>
              <w:rPr>
                <w:color w:val="auto"/>
                <w:kern w:val="0"/>
                <w:sz w:val="22"/>
              </w:rPr>
            </w:pPr>
            <w:r>
              <w:rPr>
                <w:rFonts w:hint="eastAsia"/>
                <w:color w:val="auto"/>
                <w:kern w:val="0"/>
                <w:sz w:val="22"/>
              </w:rPr>
              <w:t>动物试验研究</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为避免开展不必要的动物试验，医疗器械是否开展动物试验研究应当进行科学决策，并提供论证/说明资料。经决策需通过动物试验研究验证/确认产品风险控制措施有效性的，应当提供动物试验研究资料，研究资料应当包括试验目的、实验动物信息、受试器械和对照信息、动物数量、评价指标和试验结果、动物试验设计要素的确定依据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CH3.5.</w:t>
            </w:r>
            <w:r>
              <w:rPr>
                <w:rFonts w:hint="eastAsia"/>
                <w:b/>
                <w:bCs/>
                <w:color w:val="auto"/>
                <w:kern w:val="0"/>
                <w:sz w:val="22"/>
              </w:rPr>
              <w:t>9</w:t>
            </w:r>
          </w:p>
        </w:tc>
        <w:tc>
          <w:tcPr>
            <w:tcW w:w="1720" w:type="dxa"/>
            <w:shd w:val="clear" w:color="auto" w:fill="FFFFFF"/>
            <w:vAlign w:val="center"/>
          </w:tcPr>
          <w:p>
            <w:pPr>
              <w:overflowPunct w:val="0"/>
              <w:jc w:val="left"/>
              <w:rPr>
                <w:color w:val="auto"/>
                <w:kern w:val="0"/>
                <w:sz w:val="22"/>
              </w:rPr>
            </w:pPr>
            <w:r>
              <w:rPr>
                <w:rFonts w:hint="eastAsia"/>
                <w:color w:val="auto"/>
                <w:kern w:val="0"/>
                <w:sz w:val="22"/>
              </w:rPr>
              <w:t>证明产品安全性、有效性的研究资料</w:t>
            </w:r>
          </w:p>
        </w:tc>
        <w:tc>
          <w:tcPr>
            <w:tcW w:w="710" w:type="dxa"/>
            <w:shd w:val="clear" w:color="auto" w:fill="FFFFFF"/>
            <w:vAlign w:val="center"/>
          </w:tcPr>
          <w:p>
            <w:pPr>
              <w:overflowPunct w:val="0"/>
              <w:jc w:val="center"/>
              <w:rPr>
                <w:color w:val="auto"/>
                <w:kern w:val="0"/>
                <w:sz w:val="22"/>
              </w:rPr>
            </w:pPr>
            <w:r>
              <w:rPr>
                <w:color w:val="auto"/>
                <w:kern w:val="0"/>
                <w:sz w:val="22"/>
              </w:rPr>
              <w:t>CR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w:t>
            </w:r>
            <w:r>
              <w:rPr>
                <w:rFonts w:hint="eastAsia"/>
                <w:b/>
                <w:bCs/>
                <w:color w:val="auto"/>
                <w:kern w:val="0"/>
                <w:sz w:val="22"/>
              </w:rPr>
              <w:t>6</w:t>
            </w:r>
          </w:p>
        </w:tc>
        <w:tc>
          <w:tcPr>
            <w:tcW w:w="1720" w:type="dxa"/>
            <w:shd w:val="clear" w:color="auto" w:fill="FFFFFF"/>
            <w:vAlign w:val="center"/>
          </w:tcPr>
          <w:p>
            <w:pPr>
              <w:overflowPunct w:val="0"/>
              <w:jc w:val="left"/>
              <w:rPr>
                <w:color w:val="auto"/>
                <w:kern w:val="0"/>
                <w:sz w:val="22"/>
              </w:rPr>
            </w:pPr>
            <w:r>
              <w:rPr>
                <w:rFonts w:hint="eastAsia"/>
                <w:color w:val="auto"/>
                <w:kern w:val="0"/>
                <w:sz w:val="22"/>
              </w:rPr>
              <w:t>非临床文献</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C</w:t>
            </w: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提供与申报产品相关的已发表的非临床研究（如尸体研究、生物力学研究等）文献/书目列表，并提供相关内容的复印件（外文应同时提供翻译件）。如未检索到与申报产品相关的非临床文献/书目，应当提供相关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CH3.7</w:t>
            </w:r>
          </w:p>
        </w:tc>
        <w:tc>
          <w:tcPr>
            <w:tcW w:w="1720" w:type="dxa"/>
            <w:shd w:val="clear" w:color="auto" w:fill="FFFFFF"/>
            <w:vAlign w:val="center"/>
          </w:tcPr>
          <w:p>
            <w:pPr>
              <w:overflowPunct w:val="0"/>
              <w:jc w:val="left"/>
              <w:rPr>
                <w:color w:val="auto"/>
                <w:kern w:val="0"/>
                <w:sz w:val="22"/>
              </w:rPr>
            </w:pPr>
            <w:r>
              <w:rPr>
                <w:rFonts w:hint="eastAsia"/>
                <w:color w:val="auto"/>
                <w:kern w:val="0"/>
                <w:sz w:val="22"/>
              </w:rPr>
              <w:t>稳定性研究</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N</w:t>
            </w:r>
            <w:r>
              <w:rPr>
                <w:color w:val="auto"/>
                <w:kern w:val="0"/>
                <w:sz w:val="22"/>
              </w:rPr>
              <w:t>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CH3.7.1</w:t>
            </w:r>
          </w:p>
        </w:tc>
        <w:tc>
          <w:tcPr>
            <w:tcW w:w="1720" w:type="dxa"/>
            <w:shd w:val="clear" w:color="auto" w:fill="FFFFFF"/>
            <w:vAlign w:val="center"/>
          </w:tcPr>
          <w:p>
            <w:pPr>
              <w:overflowPunct w:val="0"/>
              <w:jc w:val="left"/>
              <w:rPr>
                <w:color w:val="auto"/>
                <w:kern w:val="0"/>
                <w:sz w:val="22"/>
              </w:rPr>
            </w:pPr>
            <w:r>
              <w:rPr>
                <w:rFonts w:hint="eastAsia"/>
                <w:color w:val="auto"/>
                <w:kern w:val="0"/>
                <w:sz w:val="22"/>
              </w:rPr>
              <w:t>货架有效期</w:t>
            </w:r>
          </w:p>
        </w:tc>
        <w:tc>
          <w:tcPr>
            <w:tcW w:w="710" w:type="dxa"/>
            <w:shd w:val="clear" w:color="auto" w:fill="FFFFFF"/>
            <w:vAlign w:val="center"/>
          </w:tcPr>
          <w:p>
            <w:pPr>
              <w:overflowPunct w:val="0"/>
              <w:jc w:val="center"/>
              <w:rPr>
                <w:color w:val="auto"/>
                <w:kern w:val="0"/>
                <w:sz w:val="22"/>
              </w:rPr>
            </w:pPr>
            <w:r>
              <w:rPr>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如适用，应当提供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CH3.7.</w:t>
            </w:r>
            <w:r>
              <w:rPr>
                <w:rFonts w:hint="eastAsia"/>
                <w:b/>
                <w:bCs/>
                <w:color w:val="auto"/>
                <w:kern w:val="0"/>
                <w:sz w:val="22"/>
              </w:rPr>
              <w:t>2</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使用稳定性</w:t>
            </w:r>
          </w:p>
        </w:tc>
        <w:tc>
          <w:tcPr>
            <w:tcW w:w="710" w:type="dxa"/>
            <w:shd w:val="clear" w:color="auto" w:fill="FFFFFF"/>
            <w:vAlign w:val="center"/>
          </w:tcPr>
          <w:p>
            <w:pPr>
              <w:overflowPunct w:val="0"/>
              <w:jc w:val="center"/>
              <w:rPr>
                <w:color w:val="auto"/>
                <w:kern w:val="0"/>
                <w:sz w:val="22"/>
              </w:rPr>
            </w:pPr>
            <w:r>
              <w:rPr>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如适用，应当提供使用稳定性/可靠性研究资料，证明在生产企业规定的使用期限/使用次数内，在正常使用、维护和校准（如适用）情况下，产品的性能功能满足使用要求。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CH3.7.</w:t>
            </w:r>
            <w:r>
              <w:rPr>
                <w:rFonts w:hint="eastAsia"/>
                <w:b/>
                <w:bCs/>
                <w:color w:val="auto"/>
                <w:kern w:val="0"/>
                <w:sz w:val="22"/>
              </w:rPr>
              <w:t>3</w:t>
            </w:r>
          </w:p>
        </w:tc>
        <w:tc>
          <w:tcPr>
            <w:tcW w:w="1720" w:type="dxa"/>
            <w:shd w:val="clear" w:color="auto" w:fill="FFFFFF"/>
            <w:vAlign w:val="center"/>
          </w:tcPr>
          <w:p>
            <w:pPr>
              <w:overflowPunct w:val="0"/>
              <w:jc w:val="left"/>
              <w:rPr>
                <w:color w:val="auto"/>
                <w:kern w:val="0"/>
                <w:sz w:val="22"/>
              </w:rPr>
            </w:pPr>
            <w:r>
              <w:rPr>
                <w:rFonts w:hint="eastAsia"/>
                <w:color w:val="auto"/>
                <w:kern w:val="0"/>
                <w:sz w:val="22"/>
              </w:rPr>
              <w:t>运输稳定性</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应当提供运输稳定性和包装研究资料，证明在生产企业规定的运输条件下，运输过程中的环境条件（例如：震动、振动、温度和湿度的波动）不会对医疗器械的特性和性能，包括完整性和清洁度，造成不利影响。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CH3.8</w:t>
            </w:r>
          </w:p>
        </w:tc>
        <w:tc>
          <w:tcPr>
            <w:tcW w:w="1720" w:type="dxa"/>
            <w:shd w:val="clear" w:color="auto" w:fill="FFFFFF"/>
            <w:vAlign w:val="center"/>
          </w:tcPr>
          <w:p>
            <w:pPr>
              <w:overflowPunct w:val="0"/>
              <w:jc w:val="left"/>
              <w:rPr>
                <w:color w:val="auto"/>
                <w:kern w:val="0"/>
                <w:sz w:val="22"/>
              </w:rPr>
            </w:pPr>
            <w:r>
              <w:rPr>
                <w:color w:val="auto"/>
                <w:kern w:val="0"/>
                <w:sz w:val="22"/>
              </w:rPr>
              <w:t>其他资料</w:t>
            </w:r>
          </w:p>
        </w:tc>
        <w:tc>
          <w:tcPr>
            <w:tcW w:w="710" w:type="dxa"/>
            <w:shd w:val="clear" w:color="auto" w:fill="FFFFFF"/>
            <w:vAlign w:val="center"/>
          </w:tcPr>
          <w:p>
            <w:pPr>
              <w:overflowPunct w:val="0"/>
              <w:jc w:val="center"/>
              <w:rPr>
                <w:color w:val="auto"/>
                <w:kern w:val="0"/>
                <w:sz w:val="22"/>
              </w:rPr>
            </w:pPr>
            <w:r>
              <w:rPr>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免于进行临床评价的第二类医疗器械，申请人应当按照《列入免于进行临床评价医疗器械目录产品对比说明技术指导原则》，从基本原理、结构组成、性能、安全性、适用范围等方面，证明产品的安全有效性。</w:t>
            </w:r>
          </w:p>
          <w:p>
            <w:pPr>
              <w:overflowPunct w:val="0"/>
              <w:jc w:val="left"/>
              <w:rPr>
                <w:color w:val="auto"/>
                <w:kern w:val="0"/>
                <w:sz w:val="22"/>
              </w:rPr>
            </w:pPr>
            <w:r>
              <w:rPr>
                <w:rFonts w:hint="eastAsia"/>
                <w:color w:val="auto"/>
                <w:kern w:val="0"/>
                <w:sz w:val="22"/>
              </w:rPr>
              <w:t>对于一次性使用的医疗器械，还应当提供证明其无法重复使用的支持性资料。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63" w:type="dxa"/>
            <w:gridSpan w:val="4"/>
            <w:shd w:val="clear" w:color="auto" w:fill="FFFFFF"/>
            <w:vAlign w:val="center"/>
          </w:tcPr>
          <w:p>
            <w:pPr>
              <w:overflowPunct w:val="0"/>
              <w:jc w:val="center"/>
              <w:rPr>
                <w:b/>
                <w:color w:val="auto"/>
                <w:kern w:val="0"/>
                <w:sz w:val="22"/>
              </w:rPr>
            </w:pPr>
            <w:r>
              <w:rPr>
                <w:b/>
                <w:color w:val="auto"/>
                <w:kern w:val="0"/>
                <w:sz w:val="22"/>
              </w:rPr>
              <w:t>第4章——</w:t>
            </w:r>
            <w:r>
              <w:rPr>
                <w:rFonts w:hint="eastAsia"/>
                <w:b/>
                <w:color w:val="auto"/>
                <w:kern w:val="0"/>
                <w:sz w:val="22"/>
              </w:rPr>
              <w:t>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CH4.1</w:t>
            </w:r>
          </w:p>
        </w:tc>
        <w:tc>
          <w:tcPr>
            <w:tcW w:w="1720" w:type="dxa"/>
            <w:shd w:val="clear" w:color="auto" w:fill="FFFFFF"/>
            <w:vAlign w:val="center"/>
          </w:tcPr>
          <w:p>
            <w:pPr>
              <w:overflowPunct w:val="0"/>
              <w:jc w:val="left"/>
              <w:rPr>
                <w:color w:val="auto"/>
                <w:kern w:val="0"/>
                <w:sz w:val="22"/>
              </w:rPr>
            </w:pPr>
            <w:r>
              <w:rPr>
                <w:color w:val="auto"/>
                <w:kern w:val="0"/>
                <w:sz w:val="22"/>
              </w:rPr>
              <w:t>章节目录</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CH4.2</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临床评价资料</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N</w:t>
            </w:r>
            <w:r>
              <w:rPr>
                <w:color w:val="auto"/>
                <w:kern w:val="0"/>
                <w:sz w:val="22"/>
              </w:rPr>
              <w:t>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CH4.2.1</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产品描述和研发背景</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包括申报产品基本信息、适用范围、现有的诊断或治疗方法及涉及医疗器械的临床应用情况、申报产品与现有诊断或治疗方法的关系、预期达到的临床疗效。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749"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CH4.2.2</w:t>
            </w:r>
          </w:p>
        </w:tc>
        <w:tc>
          <w:tcPr>
            <w:tcW w:w="1720" w:type="dxa"/>
            <w:shd w:val="clear" w:color="auto" w:fill="FFFFFF"/>
            <w:vAlign w:val="center"/>
          </w:tcPr>
          <w:p>
            <w:pPr>
              <w:overflowPunct w:val="0"/>
              <w:jc w:val="left"/>
              <w:rPr>
                <w:color w:val="auto"/>
                <w:kern w:val="0"/>
                <w:sz w:val="22"/>
              </w:rPr>
            </w:pPr>
            <w:r>
              <w:rPr>
                <w:rFonts w:hint="eastAsia"/>
                <w:color w:val="auto"/>
                <w:kern w:val="0"/>
                <w:sz w:val="22"/>
              </w:rPr>
              <w:t>明确临床评价涵盖的范围</w:t>
            </w:r>
          </w:p>
        </w:tc>
        <w:tc>
          <w:tcPr>
            <w:tcW w:w="710" w:type="dxa"/>
            <w:shd w:val="clear" w:color="auto" w:fill="FFFFFF"/>
            <w:vAlign w:val="center"/>
          </w:tcPr>
          <w:p>
            <w:pPr>
              <w:overflowPunct w:val="0"/>
              <w:jc w:val="center"/>
              <w:rPr>
                <w:color w:val="auto"/>
                <w:kern w:val="0"/>
                <w:sz w:val="22"/>
              </w:rPr>
            </w:pPr>
            <w:r>
              <w:rPr>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申报产品中如有可免于进行临床评价的部分，描述其结构组成并说明免于进行临床评价的理由。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076"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CH4.2.3</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临床评价路径</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根据申报产品的适用范围、技术特征、已有临床数据等具体情况，选择恰当的临床评价路径，包括同品种临床评价路径和/或临床试验路径。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CH4.2.</w:t>
            </w:r>
            <w:r>
              <w:rPr>
                <w:rFonts w:hint="eastAsia"/>
                <w:b/>
                <w:bCs/>
                <w:color w:val="auto"/>
                <w:kern w:val="0"/>
                <w:sz w:val="22"/>
              </w:rPr>
              <w:t>4</w:t>
            </w:r>
          </w:p>
        </w:tc>
        <w:tc>
          <w:tcPr>
            <w:tcW w:w="1720" w:type="dxa"/>
            <w:shd w:val="clear" w:color="auto" w:fill="FFFFFF"/>
            <w:vAlign w:val="center"/>
          </w:tcPr>
          <w:p>
            <w:pPr>
              <w:overflowPunct w:val="0"/>
              <w:jc w:val="left"/>
              <w:rPr>
                <w:color w:val="auto"/>
                <w:kern w:val="0"/>
                <w:sz w:val="22"/>
              </w:rPr>
            </w:pPr>
            <w:r>
              <w:rPr>
                <w:rFonts w:hint="eastAsia"/>
                <w:color w:val="auto"/>
                <w:kern w:val="0"/>
                <w:sz w:val="22"/>
              </w:rPr>
              <w:t>对比资料与临床证据</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若通过同品种临床评价路径进行临床评价，应当提交申报产品与同品种医疗器械在适用范围、技术特征、生物学特性方面的对比资料；应当对同品种医疗器械的临床数据进行收集、评估和分析，形成临床证据。如适用，应当描述申报产品与同品种医疗器械的差异，提交充分的科学证据证明二者具有相同的安全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CH4.2.</w:t>
            </w:r>
            <w:r>
              <w:rPr>
                <w:rFonts w:hint="eastAsia"/>
                <w:b/>
                <w:bCs/>
                <w:color w:val="auto"/>
                <w:kern w:val="0"/>
                <w:sz w:val="22"/>
              </w:rPr>
              <w:t>5</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临床试验方案与临床试验数据库</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若通过临床试验路径进行临床评价，应当提交临床试验方案、临床试验机构伦理委员会同意开展临床试验的书面意见、临床试验报告、知情同意书样本，并附临床试验数据库（原始数据库、分析数据库、说明性文件和程序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CH4.2.</w:t>
            </w:r>
            <w:r>
              <w:rPr>
                <w:rFonts w:hint="eastAsia"/>
                <w:b/>
                <w:bCs/>
                <w:color w:val="auto"/>
                <w:kern w:val="0"/>
                <w:sz w:val="22"/>
              </w:rPr>
              <w:t>6</w:t>
            </w:r>
          </w:p>
        </w:tc>
        <w:tc>
          <w:tcPr>
            <w:tcW w:w="1720" w:type="dxa"/>
            <w:shd w:val="clear" w:color="auto" w:fill="FFFFFF"/>
            <w:vAlign w:val="center"/>
          </w:tcPr>
          <w:p>
            <w:pPr>
              <w:overflowPunct w:val="0"/>
              <w:jc w:val="left"/>
              <w:rPr>
                <w:color w:val="auto"/>
                <w:kern w:val="0"/>
                <w:sz w:val="22"/>
              </w:rPr>
            </w:pPr>
            <w:r>
              <w:rPr>
                <w:rFonts w:hint="eastAsia"/>
                <w:color w:val="auto"/>
                <w:kern w:val="0"/>
                <w:sz w:val="22"/>
              </w:rPr>
              <w:t>临床试验报告</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临床试验报告（如有）主体应当是我省注册申请人。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061"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CH4.3</w:t>
            </w:r>
          </w:p>
        </w:tc>
        <w:tc>
          <w:tcPr>
            <w:tcW w:w="1720" w:type="dxa"/>
            <w:shd w:val="clear" w:color="auto" w:fill="FFFFFF"/>
            <w:vAlign w:val="center"/>
          </w:tcPr>
          <w:p>
            <w:pPr>
              <w:overflowPunct w:val="0"/>
              <w:jc w:val="left"/>
              <w:rPr>
                <w:color w:val="auto"/>
                <w:kern w:val="0"/>
                <w:sz w:val="22"/>
              </w:rPr>
            </w:pPr>
            <w:r>
              <w:rPr>
                <w:rFonts w:hint="eastAsia"/>
                <w:color w:val="auto"/>
                <w:kern w:val="0"/>
                <w:sz w:val="22"/>
              </w:rPr>
              <w:t>其他资料</w:t>
            </w:r>
          </w:p>
        </w:tc>
        <w:tc>
          <w:tcPr>
            <w:tcW w:w="710" w:type="dxa"/>
            <w:shd w:val="clear" w:color="auto" w:fill="FFFFFF"/>
            <w:vAlign w:val="center"/>
          </w:tcPr>
          <w:p>
            <w:pPr>
              <w:overflowPunct w:val="0"/>
              <w:jc w:val="center"/>
              <w:rPr>
                <w:color w:val="auto"/>
                <w:kern w:val="0"/>
                <w:sz w:val="22"/>
              </w:rPr>
            </w:pPr>
            <w:r>
              <w:rPr>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如适用，提供项目评价资料的摘要、报告和数据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63" w:type="dxa"/>
            <w:gridSpan w:val="4"/>
            <w:shd w:val="clear" w:color="auto" w:fill="FFFFFF"/>
            <w:vAlign w:val="center"/>
          </w:tcPr>
          <w:p>
            <w:pPr>
              <w:overflowPunct w:val="0"/>
              <w:jc w:val="center"/>
              <w:rPr>
                <w:b/>
                <w:color w:val="auto"/>
                <w:kern w:val="0"/>
                <w:sz w:val="22"/>
              </w:rPr>
            </w:pPr>
            <w:r>
              <w:rPr>
                <w:b/>
                <w:color w:val="auto"/>
                <w:kern w:val="0"/>
                <w:sz w:val="22"/>
              </w:rPr>
              <w:t>第5章——</w:t>
            </w:r>
            <w:r>
              <w:rPr>
                <w:rFonts w:hint="eastAsia"/>
                <w:b/>
                <w:color w:val="auto"/>
                <w:kern w:val="0"/>
                <w:sz w:val="22"/>
              </w:rPr>
              <w:t>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2"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CH5.</w:t>
            </w:r>
            <w:r>
              <w:rPr>
                <w:rFonts w:hint="eastAsia"/>
                <w:b/>
                <w:bCs/>
                <w:color w:val="auto"/>
                <w:kern w:val="0"/>
                <w:sz w:val="22"/>
              </w:rPr>
              <w:t>1</w:t>
            </w:r>
          </w:p>
        </w:tc>
        <w:tc>
          <w:tcPr>
            <w:tcW w:w="1720" w:type="dxa"/>
            <w:shd w:val="clear" w:color="auto" w:fill="FFFFFF"/>
            <w:vAlign w:val="center"/>
          </w:tcPr>
          <w:p>
            <w:pPr>
              <w:overflowPunct w:val="0"/>
              <w:jc w:val="left"/>
              <w:rPr>
                <w:color w:val="auto"/>
                <w:kern w:val="0"/>
                <w:sz w:val="22"/>
              </w:rPr>
            </w:pPr>
            <w:r>
              <w:rPr>
                <w:color w:val="auto"/>
                <w:kern w:val="0"/>
                <w:sz w:val="22"/>
              </w:rPr>
              <w:t>章节目录</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67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CH5.2</w:t>
            </w:r>
          </w:p>
        </w:tc>
        <w:tc>
          <w:tcPr>
            <w:tcW w:w="1720" w:type="dxa"/>
            <w:shd w:val="clear" w:color="auto" w:fill="FFFFFF"/>
            <w:vAlign w:val="center"/>
          </w:tcPr>
          <w:p>
            <w:pPr>
              <w:overflowPunct w:val="0"/>
              <w:jc w:val="left"/>
              <w:rPr>
                <w:color w:val="auto"/>
                <w:kern w:val="0"/>
                <w:sz w:val="22"/>
              </w:rPr>
            </w:pPr>
            <w:r>
              <w:rPr>
                <w:rFonts w:hint="eastAsia"/>
                <w:color w:val="auto"/>
                <w:kern w:val="0"/>
                <w:sz w:val="24"/>
              </w:rPr>
              <w:t>产品说明书</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（1）提交的产品说明书，内容应符合《医疗器械说明书和标签管理规定》和相关法规、规章、规范性文件、强制性标准的要求。</w:t>
            </w:r>
          </w:p>
          <w:p>
            <w:pPr>
              <w:overflowPunct w:val="0"/>
              <w:jc w:val="left"/>
              <w:rPr>
                <w:color w:val="auto"/>
                <w:kern w:val="0"/>
                <w:sz w:val="22"/>
              </w:rPr>
            </w:pPr>
            <w:r>
              <w:rPr>
                <w:rFonts w:hint="eastAsia"/>
                <w:color w:val="auto"/>
                <w:kern w:val="0"/>
                <w:sz w:val="22"/>
              </w:rPr>
              <w:t>（2）说明书产品名称与申报产品名称一致，委托生产写明委托生产信息。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CH5.3</w:t>
            </w:r>
          </w:p>
        </w:tc>
        <w:tc>
          <w:tcPr>
            <w:tcW w:w="1720" w:type="dxa"/>
            <w:shd w:val="clear" w:color="auto" w:fill="FFFFFF"/>
            <w:vAlign w:val="center"/>
          </w:tcPr>
          <w:p>
            <w:pPr>
              <w:overflowPunct w:val="0"/>
              <w:jc w:val="left"/>
              <w:rPr>
                <w:color w:val="auto"/>
                <w:kern w:val="0"/>
                <w:sz w:val="22"/>
              </w:rPr>
            </w:pPr>
            <w:r>
              <w:rPr>
                <w:rFonts w:hint="eastAsia"/>
                <w:color w:val="auto"/>
                <w:kern w:val="0"/>
                <w:sz w:val="22"/>
              </w:rPr>
              <w:t>标签样稿</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（1）应提交最小销售单元标签样稿，内容需符合《医疗器械说明书和标签管理规定》和相关法规、规章、规范性文件、强制性标准的要求。</w:t>
            </w:r>
          </w:p>
          <w:p>
            <w:pPr>
              <w:overflowPunct w:val="0"/>
              <w:jc w:val="left"/>
              <w:rPr>
                <w:color w:val="auto"/>
                <w:kern w:val="0"/>
                <w:sz w:val="22"/>
              </w:rPr>
            </w:pPr>
            <w:r>
              <w:rPr>
                <w:rFonts w:hint="eastAsia"/>
                <w:color w:val="auto"/>
                <w:kern w:val="0"/>
                <w:sz w:val="22"/>
              </w:rPr>
              <w:t>（2）标签样稿产品名称与申报产品名称一致，委托生产写明委托生产信息。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92" w:hRule="atLeast"/>
          <w:jc w:val="center"/>
        </w:trPr>
        <w:tc>
          <w:tcPr>
            <w:tcW w:w="1985" w:type="dxa"/>
            <w:shd w:val="clear" w:color="auto" w:fill="FFFFFF"/>
            <w:vAlign w:val="center"/>
          </w:tcPr>
          <w:p>
            <w:pPr>
              <w:overflowPunct w:val="0"/>
              <w:jc w:val="center"/>
              <w:rPr>
                <w:b/>
                <w:bCs/>
                <w:color w:val="auto"/>
                <w:kern w:val="0"/>
                <w:sz w:val="22"/>
              </w:rPr>
            </w:pPr>
            <w:r>
              <w:rPr>
                <w:b/>
                <w:bCs/>
                <w:color w:val="auto"/>
                <w:kern w:val="0"/>
                <w:sz w:val="22"/>
              </w:rPr>
              <w:t>CH5.4</w:t>
            </w:r>
          </w:p>
        </w:tc>
        <w:tc>
          <w:tcPr>
            <w:tcW w:w="1720" w:type="dxa"/>
            <w:shd w:val="clear" w:color="auto" w:fill="FFFFFF"/>
            <w:vAlign w:val="center"/>
          </w:tcPr>
          <w:p>
            <w:pPr>
              <w:overflowPunct w:val="0"/>
              <w:jc w:val="left"/>
              <w:rPr>
                <w:color w:val="auto"/>
                <w:kern w:val="0"/>
                <w:sz w:val="22"/>
              </w:rPr>
            </w:pPr>
            <w:r>
              <w:rPr>
                <w:rFonts w:hint="eastAsia"/>
                <w:color w:val="auto"/>
                <w:kern w:val="0"/>
                <w:sz w:val="22"/>
              </w:rPr>
              <w:t>其他资料</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如适用，提交对产品信息进行补充说明的其他文件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63" w:type="dxa"/>
            <w:gridSpan w:val="4"/>
            <w:shd w:val="clear" w:color="auto" w:fill="FFFFFF"/>
            <w:vAlign w:val="center"/>
          </w:tcPr>
          <w:p>
            <w:pPr>
              <w:overflowPunct w:val="0"/>
              <w:jc w:val="center"/>
              <w:rPr>
                <w:b/>
                <w:color w:val="auto"/>
                <w:kern w:val="0"/>
                <w:sz w:val="22"/>
              </w:rPr>
            </w:pPr>
            <w:r>
              <w:rPr>
                <w:b/>
                <w:color w:val="auto"/>
                <w:kern w:val="0"/>
                <w:sz w:val="22"/>
              </w:rPr>
              <w:t>第6章——</w:t>
            </w:r>
            <w:r>
              <w:rPr>
                <w:rFonts w:hint="eastAsia"/>
                <w:b/>
                <w:color w:val="auto"/>
                <w:kern w:val="0"/>
                <w:sz w:val="22"/>
              </w:rPr>
              <w:t>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7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CH6.1</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综述</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注册人应当承诺已按照相关法规要求建立相应的质量管理体系，随时接受质量管理体系核查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CH6.2</w:t>
            </w:r>
          </w:p>
        </w:tc>
        <w:tc>
          <w:tcPr>
            <w:tcW w:w="1720" w:type="dxa"/>
            <w:shd w:val="clear" w:color="auto" w:fill="FFFFFF"/>
            <w:vAlign w:val="center"/>
          </w:tcPr>
          <w:p>
            <w:pPr>
              <w:overflowPunct w:val="0"/>
              <w:jc w:val="left"/>
              <w:rPr>
                <w:color w:val="auto"/>
                <w:kern w:val="0"/>
                <w:sz w:val="22"/>
                <w:szCs w:val="21"/>
              </w:rPr>
            </w:pPr>
            <w:r>
              <w:rPr>
                <w:color w:val="auto"/>
                <w:kern w:val="0"/>
                <w:sz w:val="22"/>
                <w:szCs w:val="21"/>
              </w:rPr>
              <w:t>章节目录</w:t>
            </w:r>
          </w:p>
        </w:tc>
        <w:tc>
          <w:tcPr>
            <w:tcW w:w="710" w:type="dxa"/>
            <w:shd w:val="clear" w:color="auto" w:fill="FFFFFF"/>
            <w:vAlign w:val="center"/>
          </w:tcPr>
          <w:p>
            <w:pPr>
              <w:overflowPunct w:val="0"/>
              <w:jc w:val="center"/>
              <w:rPr>
                <w:color w:val="auto"/>
                <w:kern w:val="0"/>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应当包括本章的所有标题和小标题，注明目录中各内容的页码</w:t>
            </w:r>
          </w:p>
        </w:tc>
      </w:tr>
      <w:tr>
        <w:tblPrEx>
          <w:shd w:val="clear" w:color="auto" w:fill="FFFFFF"/>
          <w:tblLayout w:type="fixed"/>
          <w:tblCellMar>
            <w:top w:w="0" w:type="dxa"/>
            <w:left w:w="108" w:type="dxa"/>
            <w:bottom w:w="0" w:type="dxa"/>
            <w:right w:w="108" w:type="dxa"/>
          </w:tblCellMar>
        </w:tblPrEx>
        <w:trPr>
          <w:trHeight w:val="624"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CH6.3</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生产制造信息</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N</w:t>
            </w:r>
            <w:r>
              <w:rPr>
                <w:color w:val="auto"/>
                <w:kern w:val="0"/>
                <w:sz w:val="22"/>
              </w:rPr>
              <w:t>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CH6.3</w:t>
            </w:r>
            <w:r>
              <w:rPr>
                <w:rFonts w:hint="eastAsia"/>
                <w:b/>
                <w:bCs/>
                <w:color w:val="auto"/>
                <w:kern w:val="0"/>
                <w:sz w:val="22"/>
                <w:szCs w:val="21"/>
              </w:rPr>
              <w:t>.1</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产品描述信息</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器械工作原理和总体生产工艺的简要说明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CH6.3</w:t>
            </w:r>
            <w:r>
              <w:rPr>
                <w:rFonts w:hint="eastAsia"/>
                <w:b/>
                <w:bCs/>
                <w:color w:val="auto"/>
                <w:kern w:val="0"/>
                <w:sz w:val="22"/>
                <w:szCs w:val="21"/>
              </w:rPr>
              <w:t>.2</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一般生产信息</w:t>
            </w:r>
          </w:p>
        </w:tc>
        <w:tc>
          <w:tcPr>
            <w:tcW w:w="710" w:type="dxa"/>
            <w:shd w:val="clear" w:color="auto" w:fill="FFFFFF"/>
            <w:vAlign w:val="center"/>
          </w:tcPr>
          <w:p>
            <w:pPr>
              <w:overflowPunct w:val="0"/>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提供生产器械或其部件的所有地址和联络信息。</w:t>
            </w:r>
          </w:p>
          <w:p>
            <w:pPr>
              <w:overflowPunct w:val="0"/>
              <w:jc w:val="left"/>
              <w:rPr>
                <w:color w:val="auto"/>
                <w:kern w:val="0"/>
                <w:sz w:val="22"/>
              </w:rPr>
            </w:pPr>
            <w:r>
              <w:rPr>
                <w:rFonts w:hint="eastAsia"/>
                <w:color w:val="auto"/>
                <w:kern w:val="0"/>
                <w:sz w:val="22"/>
              </w:rPr>
              <w:t>如适用，提供外包生产、重要组件或原材料的生产（如动物组织和药品）、关键工艺过程、灭菌情况的所有重要供应商名称和地址。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1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CH6.4</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质量管理体系程序</w:t>
            </w:r>
          </w:p>
        </w:tc>
        <w:tc>
          <w:tcPr>
            <w:tcW w:w="710" w:type="dxa"/>
            <w:shd w:val="clear" w:color="auto" w:fill="FFFFFF"/>
            <w:vAlign w:val="center"/>
          </w:tcPr>
          <w:p>
            <w:pPr>
              <w:jc w:val="center"/>
              <w:rPr>
                <w:color w:val="auto"/>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用于建立和维护质量管理体系的高层级质量管理体系程序，包括质量手册、质量方针、质量目标和文件及记录控制程序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1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CH6.5</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管理职责程序</w:t>
            </w:r>
          </w:p>
        </w:tc>
        <w:tc>
          <w:tcPr>
            <w:tcW w:w="710" w:type="dxa"/>
            <w:shd w:val="clear" w:color="auto" w:fill="FFFFFF"/>
            <w:vAlign w:val="center"/>
          </w:tcPr>
          <w:p>
            <w:pPr>
              <w:jc w:val="center"/>
              <w:rPr>
                <w:color w:val="auto"/>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用于通过阐述质量方针、策划、职责/权限/沟通和管理评审，对建立和维护质量管理体系形成管理保证文件的程序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1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CH6.6</w:t>
            </w:r>
          </w:p>
        </w:tc>
        <w:tc>
          <w:tcPr>
            <w:tcW w:w="1720" w:type="dxa"/>
            <w:shd w:val="clear" w:color="auto" w:fill="FFFFFF"/>
            <w:vAlign w:val="center"/>
          </w:tcPr>
          <w:p>
            <w:pPr>
              <w:overflowPunct w:val="0"/>
              <w:jc w:val="left"/>
              <w:rPr>
                <w:color w:val="auto"/>
                <w:kern w:val="0"/>
                <w:sz w:val="22"/>
                <w:szCs w:val="21"/>
              </w:rPr>
            </w:pPr>
            <w:r>
              <w:rPr>
                <w:color w:val="auto"/>
                <w:kern w:val="0"/>
                <w:sz w:val="22"/>
                <w:szCs w:val="21"/>
              </w:rPr>
              <w:t>资源管理程序</w:t>
            </w:r>
          </w:p>
        </w:tc>
        <w:tc>
          <w:tcPr>
            <w:tcW w:w="710" w:type="dxa"/>
            <w:shd w:val="clear" w:color="auto" w:fill="FFFFFF"/>
            <w:vAlign w:val="center"/>
          </w:tcPr>
          <w:p>
            <w:pPr>
              <w:jc w:val="center"/>
              <w:rPr>
                <w:color w:val="auto"/>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用于为实施和维护质量管理体系所形成足够资源（包括人力资源、基础设施和工作环境）供应文件的程序</w:t>
            </w:r>
          </w:p>
        </w:tc>
      </w:tr>
      <w:tr>
        <w:tblPrEx>
          <w:shd w:val="clear" w:color="auto" w:fill="FFFFFF"/>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CH6.7</w:t>
            </w:r>
          </w:p>
        </w:tc>
        <w:tc>
          <w:tcPr>
            <w:tcW w:w="1720" w:type="dxa"/>
            <w:shd w:val="clear" w:color="auto" w:fill="FFFFFF"/>
            <w:vAlign w:val="center"/>
          </w:tcPr>
          <w:p>
            <w:pPr>
              <w:overflowPunct w:val="0"/>
              <w:jc w:val="left"/>
              <w:rPr>
                <w:color w:val="auto"/>
                <w:kern w:val="0"/>
                <w:sz w:val="22"/>
                <w:szCs w:val="21"/>
              </w:rPr>
            </w:pPr>
            <w:r>
              <w:rPr>
                <w:color w:val="auto"/>
                <w:kern w:val="0"/>
                <w:sz w:val="22"/>
                <w:szCs w:val="21"/>
              </w:rPr>
              <w:t>产品实现程序</w:t>
            </w:r>
          </w:p>
        </w:tc>
        <w:tc>
          <w:tcPr>
            <w:tcW w:w="710" w:type="dxa"/>
            <w:shd w:val="clear" w:color="auto" w:fill="FFFFFF"/>
            <w:vAlign w:val="center"/>
          </w:tcPr>
          <w:p>
            <w:pPr>
              <w:jc w:val="center"/>
              <w:rPr>
                <w:color w:val="auto"/>
                <w:sz w:val="22"/>
              </w:rPr>
            </w:pPr>
            <w:r>
              <w:rPr>
                <w:rFonts w:hint="eastAsia"/>
                <w:color w:val="auto"/>
                <w:kern w:val="0"/>
                <w:sz w:val="22"/>
              </w:rPr>
              <w:t>N</w:t>
            </w:r>
            <w:r>
              <w:rPr>
                <w:color w:val="auto"/>
                <w:kern w:val="0"/>
                <w:sz w:val="22"/>
              </w:rPr>
              <w:t>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CH6.7.1</w:t>
            </w:r>
          </w:p>
        </w:tc>
        <w:tc>
          <w:tcPr>
            <w:tcW w:w="1720" w:type="dxa"/>
            <w:shd w:val="clear" w:color="auto" w:fill="FFFFFF"/>
            <w:vAlign w:val="center"/>
          </w:tcPr>
          <w:p>
            <w:pPr>
              <w:overflowPunct w:val="0"/>
              <w:jc w:val="left"/>
              <w:rPr>
                <w:color w:val="auto"/>
                <w:kern w:val="0"/>
                <w:sz w:val="22"/>
                <w:szCs w:val="21"/>
              </w:rPr>
            </w:pPr>
            <w:r>
              <w:rPr>
                <w:color w:val="auto"/>
                <w:kern w:val="0"/>
                <w:sz w:val="22"/>
                <w:szCs w:val="21"/>
              </w:rPr>
              <w:t>设计和开发程序</w:t>
            </w:r>
          </w:p>
        </w:tc>
        <w:tc>
          <w:tcPr>
            <w:tcW w:w="710" w:type="dxa"/>
            <w:shd w:val="clear" w:color="auto" w:fill="FFFFFF"/>
            <w:vAlign w:val="center"/>
          </w:tcPr>
          <w:p>
            <w:pPr>
              <w:jc w:val="center"/>
              <w:rPr>
                <w:color w:val="auto"/>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用于形成从项目初始至设计转换的整个过程中关于产品设计的系统性和受控的开发过程文件的程序。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1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CH6.7.2</w:t>
            </w:r>
          </w:p>
        </w:tc>
        <w:tc>
          <w:tcPr>
            <w:tcW w:w="1720" w:type="dxa"/>
            <w:shd w:val="clear" w:color="auto" w:fill="FFFFFF"/>
            <w:vAlign w:val="center"/>
          </w:tcPr>
          <w:p>
            <w:pPr>
              <w:overflowPunct w:val="0"/>
              <w:jc w:val="left"/>
              <w:rPr>
                <w:color w:val="auto"/>
                <w:kern w:val="0"/>
                <w:sz w:val="22"/>
                <w:szCs w:val="21"/>
              </w:rPr>
            </w:pPr>
            <w:r>
              <w:rPr>
                <w:color w:val="auto"/>
                <w:kern w:val="0"/>
                <w:sz w:val="22"/>
                <w:szCs w:val="21"/>
              </w:rPr>
              <w:t>采购程序</w:t>
            </w:r>
          </w:p>
        </w:tc>
        <w:tc>
          <w:tcPr>
            <w:tcW w:w="710" w:type="dxa"/>
            <w:shd w:val="clear" w:color="auto" w:fill="FFFFFF"/>
            <w:vAlign w:val="center"/>
          </w:tcPr>
          <w:p>
            <w:pPr>
              <w:jc w:val="center"/>
              <w:rPr>
                <w:color w:val="auto"/>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用于形成符合已制定的质量和/或产品技术参数的采购产品/服务文件的程序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CH6.7.3</w:t>
            </w:r>
          </w:p>
        </w:tc>
        <w:tc>
          <w:tcPr>
            <w:tcW w:w="1720" w:type="dxa"/>
            <w:shd w:val="clear" w:color="auto" w:fill="FFFFFF"/>
            <w:vAlign w:val="center"/>
          </w:tcPr>
          <w:p>
            <w:pPr>
              <w:overflowPunct w:val="0"/>
              <w:jc w:val="left"/>
              <w:rPr>
                <w:color w:val="auto"/>
                <w:kern w:val="0"/>
                <w:sz w:val="22"/>
                <w:szCs w:val="21"/>
              </w:rPr>
            </w:pPr>
            <w:r>
              <w:rPr>
                <w:color w:val="auto"/>
                <w:kern w:val="0"/>
                <w:sz w:val="22"/>
                <w:szCs w:val="21"/>
              </w:rPr>
              <w:t>生产和服务控制程序</w:t>
            </w:r>
          </w:p>
        </w:tc>
        <w:tc>
          <w:tcPr>
            <w:tcW w:w="710" w:type="dxa"/>
            <w:shd w:val="clear" w:color="auto" w:fill="FFFFFF"/>
            <w:vAlign w:val="center"/>
          </w:tcPr>
          <w:p>
            <w:pPr>
              <w:jc w:val="center"/>
              <w:rPr>
                <w:color w:val="auto"/>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用于形成受控条件下生产和服务活动文件的程序，这些程序阐述诸如产品的清洁和污染的控制、安装和服务活动、过程确认、标识和可追溯性等问题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CH6.7.4</w:t>
            </w:r>
          </w:p>
        </w:tc>
        <w:tc>
          <w:tcPr>
            <w:tcW w:w="1720" w:type="dxa"/>
            <w:shd w:val="clear" w:color="auto" w:fill="FFFFFF"/>
            <w:vAlign w:val="center"/>
          </w:tcPr>
          <w:p>
            <w:pPr>
              <w:overflowPunct w:val="0"/>
              <w:jc w:val="left"/>
              <w:rPr>
                <w:color w:val="auto"/>
                <w:kern w:val="0"/>
                <w:sz w:val="22"/>
                <w:szCs w:val="21"/>
              </w:rPr>
            </w:pPr>
            <w:r>
              <w:rPr>
                <w:color w:val="auto"/>
                <w:kern w:val="0"/>
                <w:sz w:val="22"/>
                <w:szCs w:val="21"/>
              </w:rPr>
              <w:t>监视和测量装置控制程序</w:t>
            </w:r>
          </w:p>
        </w:tc>
        <w:tc>
          <w:tcPr>
            <w:tcW w:w="710" w:type="dxa"/>
            <w:shd w:val="clear" w:color="auto" w:fill="FFFFFF"/>
            <w:vAlign w:val="center"/>
          </w:tcPr>
          <w:p>
            <w:pPr>
              <w:jc w:val="center"/>
              <w:rPr>
                <w:color w:val="auto"/>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用于形成质量管理体系运行过程中所使用的监视和测量设备已受控并持续符合既定要求的文件的程序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1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CH6.8</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质量管理体系的测量、分析和改进程序</w:t>
            </w:r>
          </w:p>
        </w:tc>
        <w:tc>
          <w:tcPr>
            <w:tcW w:w="710" w:type="dxa"/>
            <w:shd w:val="clear" w:color="auto" w:fill="FFFFFF"/>
            <w:vAlign w:val="center"/>
          </w:tcPr>
          <w:p>
            <w:pPr>
              <w:jc w:val="center"/>
              <w:rPr>
                <w:color w:val="auto"/>
                <w:sz w:val="22"/>
              </w:rPr>
            </w:pP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用于形成如何监视、测量、分析和改进以确保产品和质量管理体系的符合性，并保持质量管理体系有效性的文件的程序。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CH6.9</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其他质量体系程序信息</w:t>
            </w:r>
          </w:p>
        </w:tc>
        <w:tc>
          <w:tcPr>
            <w:tcW w:w="710" w:type="dxa"/>
            <w:shd w:val="clear" w:color="auto" w:fill="FFFFFF"/>
            <w:vAlign w:val="center"/>
          </w:tcPr>
          <w:p>
            <w:pPr>
              <w:jc w:val="center"/>
              <w:rPr>
                <w:color w:val="auto"/>
                <w:sz w:val="22"/>
              </w:rPr>
            </w:pPr>
            <w:r>
              <w:rPr>
                <w:rFonts w:hint="eastAsia"/>
                <w:color w:val="auto"/>
                <w:kern w:val="0"/>
                <w:sz w:val="22"/>
              </w:rPr>
              <w:t>C</w:t>
            </w:r>
            <w:r>
              <w:rPr>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不属于上述内容，但对此次申报较为重要的其他信息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w:t>
            </w:r>
            <w:r>
              <w:rPr>
                <w:rFonts w:hint="eastAsia"/>
                <w:b/>
                <w:bCs/>
                <w:color w:val="auto"/>
                <w:kern w:val="0"/>
                <w:sz w:val="22"/>
                <w:szCs w:val="21"/>
              </w:rPr>
              <w:t>10</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质量管理体系核查文件</w:t>
            </w:r>
          </w:p>
        </w:tc>
        <w:tc>
          <w:tcPr>
            <w:tcW w:w="710" w:type="dxa"/>
            <w:shd w:val="clear" w:color="auto" w:fill="FFFFFF"/>
            <w:vAlign w:val="center"/>
          </w:tcPr>
          <w:p>
            <w:pPr>
              <w:jc w:val="center"/>
              <w:rPr>
                <w:color w:val="auto"/>
                <w:kern w:val="0"/>
                <w:sz w:val="22"/>
              </w:rPr>
            </w:pPr>
            <w:r>
              <w:rPr>
                <w:color w:val="auto"/>
                <w:kern w:val="0"/>
                <w:sz w:val="22"/>
              </w:rPr>
              <w:t>NR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w:t>
            </w:r>
            <w:r>
              <w:rPr>
                <w:rFonts w:hint="eastAsia"/>
                <w:b/>
                <w:bCs/>
                <w:color w:val="auto"/>
                <w:kern w:val="0"/>
                <w:sz w:val="22"/>
                <w:szCs w:val="21"/>
              </w:rPr>
              <w:t>10.1</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注册人基本情况表</w:t>
            </w:r>
          </w:p>
        </w:tc>
        <w:tc>
          <w:tcPr>
            <w:tcW w:w="710" w:type="dxa"/>
            <w:shd w:val="clear" w:color="auto" w:fill="FFFFFF"/>
            <w:vAlign w:val="center"/>
          </w:tcPr>
          <w:p>
            <w:pPr>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详细描述注册人的整体情况，一般以表格方式呈现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w:t>
            </w:r>
            <w:r>
              <w:rPr>
                <w:rFonts w:hint="eastAsia"/>
                <w:b/>
                <w:bCs/>
                <w:color w:val="auto"/>
                <w:kern w:val="0"/>
                <w:sz w:val="22"/>
                <w:szCs w:val="21"/>
              </w:rPr>
              <w:t>10.2</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注册人组织机构图</w:t>
            </w:r>
          </w:p>
        </w:tc>
        <w:tc>
          <w:tcPr>
            <w:tcW w:w="710" w:type="dxa"/>
            <w:shd w:val="clear" w:color="auto" w:fill="FFFFFF"/>
            <w:vAlign w:val="center"/>
          </w:tcPr>
          <w:p>
            <w:pPr>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w:t>
            </w:r>
            <w:r>
              <w:rPr>
                <w:rFonts w:hint="eastAsia"/>
                <w:b/>
                <w:bCs/>
                <w:color w:val="auto"/>
                <w:kern w:val="0"/>
                <w:sz w:val="22"/>
                <w:szCs w:val="21"/>
              </w:rPr>
              <w:t>10.3</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生产企业总平面布置图、生产区域分布图</w:t>
            </w:r>
          </w:p>
        </w:tc>
        <w:tc>
          <w:tcPr>
            <w:tcW w:w="710" w:type="dxa"/>
            <w:shd w:val="clear" w:color="auto" w:fill="FFFFFF"/>
            <w:vAlign w:val="center"/>
          </w:tcPr>
          <w:p>
            <w:pPr>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w:t>
            </w:r>
            <w:r>
              <w:rPr>
                <w:rFonts w:hint="eastAsia"/>
                <w:b/>
                <w:bCs/>
                <w:color w:val="auto"/>
                <w:kern w:val="0"/>
                <w:sz w:val="22"/>
                <w:szCs w:val="21"/>
              </w:rPr>
              <w:t>10.4</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环境检测报告</w:t>
            </w:r>
          </w:p>
        </w:tc>
        <w:tc>
          <w:tcPr>
            <w:tcW w:w="710" w:type="dxa"/>
            <w:shd w:val="clear" w:color="auto" w:fill="FFFFFF"/>
            <w:vAlign w:val="center"/>
          </w:tcPr>
          <w:p>
            <w:pPr>
              <w:jc w:val="center"/>
              <w:rPr>
                <w:color w:val="auto"/>
                <w:kern w:val="0"/>
                <w:sz w:val="22"/>
              </w:rPr>
            </w:pPr>
            <w:r>
              <w:rPr>
                <w:rFonts w:hint="eastAsia"/>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如生产过程有净化要求的应当提供有资质的检测机构出具的环境检测报告（附平面布局图）复印件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w:t>
            </w:r>
            <w:r>
              <w:rPr>
                <w:rFonts w:hint="eastAsia"/>
                <w:b/>
                <w:bCs/>
                <w:color w:val="auto"/>
                <w:kern w:val="0"/>
                <w:sz w:val="22"/>
                <w:szCs w:val="21"/>
              </w:rPr>
              <w:t>10.5</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产品生产工艺流程图</w:t>
            </w:r>
          </w:p>
        </w:tc>
        <w:tc>
          <w:tcPr>
            <w:tcW w:w="710" w:type="dxa"/>
            <w:shd w:val="clear" w:color="auto" w:fill="FFFFFF"/>
            <w:vAlign w:val="center"/>
          </w:tcPr>
          <w:p>
            <w:pPr>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应当标明主要控制点与项目及主要原材料、采购件的来源及质量控制方法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w:t>
            </w:r>
            <w:r>
              <w:rPr>
                <w:rFonts w:hint="eastAsia"/>
                <w:b/>
                <w:bCs/>
                <w:color w:val="auto"/>
                <w:kern w:val="0"/>
                <w:sz w:val="22"/>
                <w:szCs w:val="21"/>
              </w:rPr>
              <w:t>10.6</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主要生产设备和检验设备</w:t>
            </w:r>
            <w:r>
              <w:rPr>
                <w:rFonts w:hint="eastAsia"/>
                <w:color w:val="auto"/>
                <w:kern w:val="0"/>
                <w:sz w:val="22"/>
              </w:rPr>
              <w:t>目录</w:t>
            </w:r>
          </w:p>
        </w:tc>
        <w:tc>
          <w:tcPr>
            <w:tcW w:w="710" w:type="dxa"/>
            <w:shd w:val="clear" w:color="auto" w:fill="FFFFFF"/>
            <w:vAlign w:val="center"/>
          </w:tcPr>
          <w:p>
            <w:pPr>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主要生产设备和检验设备（包括进货检验、过程检验、出厂的最终检验相关设备；如需净化生产的，还应当提供环境监测设备）目录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w:t>
            </w:r>
            <w:r>
              <w:rPr>
                <w:rFonts w:hint="eastAsia"/>
                <w:b/>
                <w:bCs/>
                <w:color w:val="auto"/>
                <w:kern w:val="0"/>
                <w:sz w:val="22"/>
                <w:szCs w:val="21"/>
              </w:rPr>
              <w:t>10.7</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注册质量管理体系自查报告</w:t>
            </w:r>
          </w:p>
        </w:tc>
        <w:tc>
          <w:tcPr>
            <w:tcW w:w="710" w:type="dxa"/>
            <w:shd w:val="clear" w:color="auto" w:fill="FFFFFF"/>
            <w:vAlign w:val="center"/>
          </w:tcPr>
          <w:p>
            <w:pPr>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w:t>
            </w:r>
            <w:r>
              <w:rPr>
                <w:rFonts w:hint="eastAsia"/>
                <w:b/>
                <w:bCs/>
                <w:color w:val="auto"/>
                <w:kern w:val="0"/>
                <w:sz w:val="22"/>
                <w:szCs w:val="21"/>
              </w:rPr>
              <w:t>10.8</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rPr>
              <w:t>与既往已通过核查产品的对比情况</w:t>
            </w:r>
          </w:p>
        </w:tc>
        <w:tc>
          <w:tcPr>
            <w:tcW w:w="710" w:type="dxa"/>
            <w:shd w:val="clear" w:color="auto" w:fill="FFFFFF"/>
            <w:vAlign w:val="center"/>
          </w:tcPr>
          <w:p>
            <w:pPr>
              <w:jc w:val="center"/>
              <w:rPr>
                <w:color w:val="auto"/>
                <w:kern w:val="0"/>
                <w:sz w:val="22"/>
              </w:rPr>
            </w:pPr>
            <w:r>
              <w:rPr>
                <w:rFonts w:hint="eastAsia"/>
                <w:color w:val="auto"/>
                <w:kern w:val="0"/>
                <w:sz w:val="22"/>
              </w:rPr>
              <w:t>CR</w:t>
            </w:r>
          </w:p>
        </w:tc>
        <w:tc>
          <w:tcPr>
            <w:tcW w:w="5748" w:type="dxa"/>
            <w:shd w:val="clear" w:color="auto" w:fill="FFFFFF"/>
            <w:vAlign w:val="center"/>
          </w:tcPr>
          <w:p>
            <w:pPr>
              <w:overflowPunct w:val="0"/>
              <w:jc w:val="left"/>
              <w:rPr>
                <w:color w:val="auto"/>
                <w:kern w:val="0"/>
                <w:sz w:val="22"/>
              </w:rPr>
            </w:pPr>
            <w:r>
              <w:rPr>
                <w:rFonts w:hint="eastAsia"/>
                <w:color w:val="auto"/>
                <w:kern w:val="0"/>
                <w:sz w:val="22"/>
              </w:rPr>
              <w:t>本次申报注册产品与既往已通过核查产品的工作原理、预期用途、结构组成、生产条件、生产工艺对比情况，如本次申报注册产品与既往已获证且通过现场体系核查产品的工作原理、预期用途相同，结构组成、生产条件、生产工艺基本相同的，应当提供既往已获证产品注册证、说明书、产品技术要求、生产工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985" w:type="dxa"/>
            <w:shd w:val="clear" w:color="auto" w:fill="FFFFFF"/>
            <w:vAlign w:val="center"/>
          </w:tcPr>
          <w:p>
            <w:pPr>
              <w:overflowPunct w:val="0"/>
              <w:jc w:val="center"/>
              <w:rPr>
                <w:b/>
                <w:bCs/>
                <w:color w:val="auto"/>
                <w:kern w:val="0"/>
                <w:sz w:val="22"/>
                <w:szCs w:val="21"/>
              </w:rPr>
            </w:pPr>
            <w:r>
              <w:rPr>
                <w:b/>
                <w:bCs/>
                <w:color w:val="auto"/>
                <w:kern w:val="0"/>
                <w:sz w:val="22"/>
                <w:szCs w:val="21"/>
              </w:rPr>
              <w:t>CH6.</w:t>
            </w:r>
            <w:r>
              <w:rPr>
                <w:rFonts w:hint="eastAsia"/>
                <w:b/>
                <w:bCs/>
                <w:color w:val="auto"/>
                <w:kern w:val="0"/>
                <w:sz w:val="22"/>
                <w:szCs w:val="21"/>
              </w:rPr>
              <w:t>10.9</w:t>
            </w:r>
          </w:p>
        </w:tc>
        <w:tc>
          <w:tcPr>
            <w:tcW w:w="1720" w:type="dxa"/>
            <w:shd w:val="clear" w:color="auto" w:fill="FFFFFF"/>
            <w:vAlign w:val="center"/>
          </w:tcPr>
          <w:p>
            <w:pPr>
              <w:overflowPunct w:val="0"/>
              <w:jc w:val="left"/>
              <w:rPr>
                <w:color w:val="auto"/>
                <w:kern w:val="0"/>
                <w:sz w:val="22"/>
                <w:szCs w:val="21"/>
              </w:rPr>
            </w:pPr>
            <w:r>
              <w:rPr>
                <w:rFonts w:hint="eastAsia"/>
                <w:color w:val="auto"/>
                <w:kern w:val="0"/>
                <w:sz w:val="22"/>
                <w:szCs w:val="21"/>
              </w:rPr>
              <w:t>申报产品符合现行国家标准、行业标准的清单</w:t>
            </w:r>
          </w:p>
        </w:tc>
        <w:tc>
          <w:tcPr>
            <w:tcW w:w="710" w:type="dxa"/>
            <w:shd w:val="clear" w:color="auto" w:fill="FFFFFF"/>
            <w:vAlign w:val="center"/>
          </w:tcPr>
          <w:p>
            <w:pPr>
              <w:jc w:val="center"/>
              <w:rPr>
                <w:color w:val="auto"/>
                <w:kern w:val="0"/>
                <w:sz w:val="22"/>
              </w:rPr>
            </w:pPr>
            <w:r>
              <w:rPr>
                <w:rFonts w:hint="eastAsia"/>
                <w:color w:val="auto"/>
                <w:kern w:val="0"/>
                <w:sz w:val="22"/>
              </w:rPr>
              <w:t>R</w:t>
            </w:r>
          </w:p>
        </w:tc>
        <w:tc>
          <w:tcPr>
            <w:tcW w:w="5748" w:type="dxa"/>
            <w:shd w:val="clear" w:color="auto" w:fill="FFFFFF"/>
            <w:vAlign w:val="center"/>
          </w:tcPr>
          <w:p>
            <w:pPr>
              <w:overflowPunct w:val="0"/>
              <w:jc w:val="left"/>
              <w:rPr>
                <w:color w:val="auto"/>
                <w:kern w:val="0"/>
                <w:sz w:val="22"/>
              </w:rPr>
            </w:pPr>
          </w:p>
        </w:tc>
      </w:tr>
    </w:tbl>
    <w:p>
      <w:pPr>
        <w:jc w:val="left"/>
        <w:rPr>
          <w:color w:val="auto"/>
        </w:rPr>
      </w:pPr>
    </w:p>
    <w:p>
      <w:pPr>
        <w:rPr>
          <w:b/>
          <w:color w:val="auto"/>
          <w:sz w:val="28"/>
          <w:szCs w:val="28"/>
        </w:rPr>
      </w:pPr>
      <w:r>
        <w:rPr>
          <w:rFonts w:hint="eastAsia"/>
          <w:b/>
          <w:color w:val="auto"/>
          <w:sz w:val="28"/>
          <w:szCs w:val="28"/>
        </w:rPr>
        <w:t>说明：R----必传      NR----不必传      CR----选传</w:t>
      </w:r>
    </w:p>
    <w:p>
      <w:pPr>
        <w:jc w:val="left"/>
        <w:rPr>
          <w:rFonts w:eastAsia="黑体"/>
          <w:bCs/>
          <w:color w:val="auto"/>
          <w:kern w:val="44"/>
          <w:sz w:val="32"/>
          <w:szCs w:val="44"/>
          <w:lang w:val="zh-CN"/>
        </w:rPr>
      </w:pPr>
      <w:r>
        <w:rPr>
          <w:color w:val="auto"/>
        </w:rPr>
        <w:br w:type="page"/>
      </w:r>
      <w:r>
        <w:rPr>
          <w:rFonts w:eastAsia="黑体"/>
          <w:bCs/>
          <w:color w:val="auto"/>
          <w:kern w:val="44"/>
          <w:sz w:val="32"/>
          <w:szCs w:val="44"/>
          <w:lang w:val="zh-CN"/>
        </w:rPr>
        <w:t>二、</w:t>
      </w:r>
      <w:r>
        <w:rPr>
          <w:rFonts w:hint="eastAsia" w:eastAsia="黑体"/>
          <w:bCs/>
          <w:color w:val="auto"/>
          <w:kern w:val="44"/>
          <w:sz w:val="32"/>
          <w:szCs w:val="44"/>
          <w:lang w:val="zh-CN"/>
        </w:rPr>
        <w:t>湖南省</w:t>
      </w:r>
      <w:r>
        <w:rPr>
          <w:rFonts w:eastAsia="黑体"/>
          <w:bCs/>
          <w:color w:val="auto"/>
          <w:kern w:val="44"/>
          <w:sz w:val="32"/>
          <w:szCs w:val="44"/>
          <w:lang w:val="zh-CN"/>
        </w:rPr>
        <w:t>第</w:t>
      </w:r>
      <w:r>
        <w:rPr>
          <w:rFonts w:hint="eastAsia" w:eastAsia="黑体"/>
          <w:bCs/>
          <w:color w:val="auto"/>
          <w:kern w:val="44"/>
          <w:sz w:val="32"/>
          <w:szCs w:val="44"/>
          <w:lang w:val="zh-CN"/>
        </w:rPr>
        <w:t>二</w:t>
      </w:r>
      <w:r>
        <w:rPr>
          <w:rFonts w:eastAsia="黑体"/>
          <w:bCs/>
          <w:color w:val="auto"/>
          <w:kern w:val="44"/>
          <w:sz w:val="32"/>
          <w:szCs w:val="44"/>
          <w:lang w:val="zh-CN"/>
        </w:rPr>
        <w:t>类体外诊断试剂</w:t>
      </w:r>
      <w:r>
        <w:rPr>
          <w:rFonts w:hint="eastAsia" w:eastAsia="黑体"/>
          <w:bCs/>
          <w:color w:val="auto"/>
          <w:kern w:val="44"/>
          <w:sz w:val="32"/>
          <w:szCs w:val="44"/>
          <w:lang w:val="zh-CN"/>
        </w:rPr>
        <w:t>首次</w:t>
      </w:r>
      <w:r>
        <w:rPr>
          <w:rFonts w:eastAsia="黑体"/>
          <w:bCs/>
          <w:color w:val="auto"/>
          <w:kern w:val="44"/>
          <w:sz w:val="32"/>
          <w:szCs w:val="44"/>
          <w:lang w:val="zh-CN"/>
        </w:rPr>
        <w:t>注册申报资料电子目录</w:t>
      </w:r>
    </w:p>
    <w:tbl>
      <w:tblPr>
        <w:tblStyle w:val="11"/>
        <w:tblW w:w="96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888"/>
        <w:gridCol w:w="1734"/>
        <w:gridCol w:w="769"/>
        <w:gridCol w:w="5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1888" w:type="dxa"/>
            <w:shd w:val="clear" w:color="auto" w:fill="FFFFFF"/>
            <w:vAlign w:val="center"/>
          </w:tcPr>
          <w:p>
            <w:pPr>
              <w:overflowPunct w:val="0"/>
              <w:jc w:val="center"/>
              <w:rPr>
                <w:rFonts w:eastAsia="黑体"/>
                <w:bCs/>
                <w:color w:val="auto"/>
                <w:kern w:val="0"/>
                <w:sz w:val="24"/>
              </w:rPr>
            </w:pPr>
            <w:r>
              <w:rPr>
                <w:rFonts w:eastAsia="黑体"/>
                <w:bCs/>
                <w:color w:val="auto"/>
                <w:kern w:val="0"/>
                <w:sz w:val="24"/>
              </w:rPr>
              <w:t>RPS目录</w:t>
            </w:r>
          </w:p>
        </w:tc>
        <w:tc>
          <w:tcPr>
            <w:tcW w:w="1734" w:type="dxa"/>
            <w:shd w:val="clear" w:color="auto" w:fill="FFFFFF"/>
            <w:vAlign w:val="center"/>
          </w:tcPr>
          <w:p>
            <w:pPr>
              <w:overflowPunct w:val="0"/>
              <w:jc w:val="center"/>
              <w:rPr>
                <w:rFonts w:eastAsia="黑体"/>
                <w:bCs/>
                <w:color w:val="auto"/>
                <w:kern w:val="0"/>
                <w:sz w:val="24"/>
              </w:rPr>
            </w:pPr>
            <w:r>
              <w:rPr>
                <w:rFonts w:eastAsia="黑体"/>
                <w:bCs/>
                <w:color w:val="auto"/>
                <w:kern w:val="0"/>
                <w:sz w:val="24"/>
              </w:rPr>
              <w:t>标题</w:t>
            </w:r>
          </w:p>
        </w:tc>
        <w:tc>
          <w:tcPr>
            <w:tcW w:w="769" w:type="dxa"/>
            <w:shd w:val="clear" w:color="auto" w:fill="FFFFFF"/>
            <w:vAlign w:val="center"/>
          </w:tcPr>
          <w:p>
            <w:pPr>
              <w:overflowPunct w:val="0"/>
              <w:jc w:val="center"/>
              <w:rPr>
                <w:rFonts w:eastAsia="黑体"/>
                <w:bCs/>
                <w:color w:val="auto"/>
                <w:kern w:val="0"/>
                <w:sz w:val="24"/>
              </w:rPr>
            </w:pPr>
            <w:r>
              <w:rPr>
                <w:rFonts w:eastAsia="黑体"/>
                <w:bCs/>
                <w:color w:val="auto"/>
                <w:kern w:val="0"/>
                <w:sz w:val="24"/>
              </w:rPr>
              <w:t>适用情况</w:t>
            </w:r>
          </w:p>
        </w:tc>
        <w:tc>
          <w:tcPr>
            <w:tcW w:w="5305" w:type="dxa"/>
            <w:shd w:val="clear" w:color="auto" w:fill="FFFFFF"/>
            <w:vAlign w:val="center"/>
          </w:tcPr>
          <w:p>
            <w:pPr>
              <w:overflowPunct w:val="0"/>
              <w:jc w:val="center"/>
              <w:rPr>
                <w:rFonts w:eastAsia="黑体"/>
                <w:bCs/>
                <w:color w:val="auto"/>
                <w:kern w:val="0"/>
                <w:sz w:val="24"/>
              </w:rPr>
            </w:pPr>
            <w:r>
              <w:rPr>
                <w:rFonts w:eastAsia="黑体"/>
                <w:bCs/>
                <w:color w:val="auto"/>
                <w:kern w:val="0"/>
                <w:sz w:val="24"/>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96" w:type="dxa"/>
            <w:gridSpan w:val="4"/>
            <w:shd w:val="clear" w:color="auto" w:fill="FFFFFF"/>
            <w:vAlign w:val="center"/>
          </w:tcPr>
          <w:p>
            <w:pPr>
              <w:overflowPunct w:val="0"/>
              <w:jc w:val="center"/>
              <w:rPr>
                <w:color w:val="auto"/>
                <w:kern w:val="0"/>
                <w:sz w:val="24"/>
              </w:rPr>
            </w:pPr>
            <w:r>
              <w:rPr>
                <w:b/>
                <w:bCs/>
                <w:color w:val="auto"/>
                <w:kern w:val="0"/>
                <w:sz w:val="24"/>
              </w:rPr>
              <w:t>第1章——</w:t>
            </w:r>
            <w:r>
              <w:rPr>
                <w:rFonts w:hint="eastAsia"/>
                <w:b/>
                <w:bCs/>
                <w:color w:val="auto"/>
                <w:kern w:val="0"/>
                <w:sz w:val="24"/>
              </w:rPr>
              <w:t>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CH1.1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章节目录</w:t>
            </w:r>
          </w:p>
        </w:tc>
        <w:tc>
          <w:tcPr>
            <w:tcW w:w="769" w:type="dxa"/>
            <w:shd w:val="clear" w:color="auto" w:fill="FFFFFF"/>
            <w:vAlign w:val="center"/>
          </w:tcPr>
          <w:p>
            <w:pPr>
              <w:overflowPunct w:val="0"/>
              <w:jc w:val="center"/>
              <w:rPr>
                <w:color w:val="auto"/>
                <w:kern w:val="0"/>
                <w:sz w:val="24"/>
              </w:rPr>
            </w:pPr>
            <w:r>
              <w:rPr>
                <w:color w:val="auto"/>
                <w:kern w:val="0"/>
                <w:sz w:val="24"/>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rPr>
                <w:color w:val="auto"/>
                <w:kern w:val="0"/>
                <w:sz w:val="22"/>
                <w:szCs w:val="22"/>
              </w:rPr>
            </w:pPr>
            <w:r>
              <w:rPr>
                <w:rFonts w:hint="eastAsia"/>
                <w:color w:val="auto"/>
                <w:kern w:val="0"/>
                <w:sz w:val="22"/>
                <w:szCs w:val="22"/>
              </w:rPr>
              <w:t>应当包括本章的所有标题和小标题，注明目录中各内容的页码，一般以表格形式体现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74"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CH1.2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申请表</w:t>
            </w:r>
          </w:p>
        </w:tc>
        <w:tc>
          <w:tcPr>
            <w:tcW w:w="769" w:type="dxa"/>
            <w:shd w:val="clear" w:color="auto" w:fill="FFFFFF"/>
            <w:vAlign w:val="center"/>
          </w:tcPr>
          <w:p>
            <w:pPr>
              <w:overflowPunct w:val="0"/>
              <w:jc w:val="center"/>
              <w:rPr>
                <w:color w:val="auto"/>
                <w:kern w:val="0"/>
                <w:sz w:val="24"/>
              </w:rPr>
            </w:pPr>
            <w:r>
              <w:rPr>
                <w:color w:val="auto"/>
                <w:kern w:val="0"/>
                <w:sz w:val="24"/>
              </w:rPr>
              <w:t>R</w:t>
            </w:r>
          </w:p>
        </w:tc>
        <w:tc>
          <w:tcPr>
            <w:tcW w:w="5305" w:type="dxa"/>
            <w:shd w:val="clear" w:color="auto" w:fill="FFFFFF"/>
            <w:vAlign w:val="center"/>
          </w:tcPr>
          <w:p>
            <w:pPr>
              <w:keepNext w:val="0"/>
              <w:keepLines w:val="0"/>
              <w:pageBreakBefore w:val="0"/>
              <w:widowControl w:val="0"/>
              <w:kinsoku/>
              <w:wordWrap/>
              <w:overflowPunct/>
              <w:topLinePunct w:val="0"/>
              <w:autoSpaceDE/>
              <w:autoSpaceDN/>
              <w:bidi w:val="0"/>
              <w:adjustRightInd/>
              <w:snapToGrid/>
              <w:textAlignment w:val="auto"/>
              <w:outlineLvl w:val="9"/>
              <w:rPr>
                <w:color w:val="auto"/>
                <w:kern w:val="0"/>
                <w:sz w:val="22"/>
                <w:szCs w:val="22"/>
              </w:rPr>
            </w:pPr>
            <w:r>
              <w:rPr>
                <w:color w:val="auto"/>
                <w:sz w:val="22"/>
                <w:szCs w:val="22"/>
              </w:rPr>
              <w:t>在省药品监督管理局医疗器械注册电子申报子系统中填写并加盖电子印章</w:t>
            </w:r>
            <w:r>
              <w:rPr>
                <w:rFonts w:hint="eastAsia"/>
                <w:color w:val="auto"/>
                <w:sz w:val="22"/>
                <w:szCs w:val="22"/>
              </w:rPr>
              <w:t>；样表可在政务服务旗舰店办事指南查看。</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（1）企业提供的申请表信息与“国家企业信用信息公示系统”公示的信息一致，并显示企业处于存续状态；</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（2）申请表中分类编码属于医疗器械产品分类目录中二类产品，其产品名称与申报资料产品名称一致；</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（3）属于委托生产情形，需在备注栏内注明受托企业名称及生产地址，其内容与受托方《营业执照》或者《医疗器械生产许可证》信息一致；</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4）体外诊断试剂产品首次注册时，企业根据实际情况填报企业质量管理体系核查情形（现场核查为必选项，企业应根据实际情况勾选注册检报告为自检报告或委托生产的情形；如本次申报注册产品与既往已获证且通过现场体系核查产品的工作原理、预期用途相同，结构组成、生产条件、生产工艺基本相同的，企业也应根据实际情况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24"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CH1.3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color w:val="auto"/>
                <w:kern w:val="0"/>
                <w:sz w:val="22"/>
                <w:szCs w:val="22"/>
              </w:rPr>
              <w:t>术语、缩写词列表</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rPr>
                <w:color w:val="auto"/>
                <w:kern w:val="0"/>
                <w:sz w:val="22"/>
                <w:szCs w:val="22"/>
              </w:rPr>
            </w:pPr>
            <w:r>
              <w:rPr>
                <w:rFonts w:hint="eastAsia"/>
                <w:color w:val="auto"/>
                <w:kern w:val="0"/>
                <w:sz w:val="22"/>
                <w:szCs w:val="22"/>
              </w:rPr>
              <w:t>如适用，应当根据注册申报资料的实际情况，对其中出现的需要明确含义的术语或缩写词进行定义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226"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CH1.4</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color w:val="auto"/>
                <w:kern w:val="0"/>
                <w:sz w:val="22"/>
                <w:szCs w:val="22"/>
              </w:rPr>
              <w:t>产品列表</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rPr>
                <w:color w:val="auto"/>
                <w:kern w:val="0"/>
                <w:sz w:val="22"/>
                <w:szCs w:val="22"/>
              </w:rPr>
            </w:pPr>
            <w:r>
              <w:rPr>
                <w:rFonts w:hint="eastAsia"/>
                <w:color w:val="auto"/>
                <w:kern w:val="0"/>
                <w:sz w:val="22"/>
                <w:szCs w:val="22"/>
              </w:rPr>
              <w:t>以表格形式列出拟申报产品的包装规格、主要组成成分，以及每个包装规格的标识（如货号、器械唯一标识等）和描述说明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CH1.5</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关联文件</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rPr>
                <w:color w:val="auto"/>
                <w:kern w:val="0"/>
                <w:sz w:val="22"/>
                <w:szCs w:val="22"/>
              </w:rPr>
            </w:pPr>
            <w:r>
              <w:rPr>
                <w:rFonts w:hint="eastAsia"/>
                <w:color w:val="auto"/>
                <w:kern w:val="0"/>
                <w:sz w:val="22"/>
                <w:szCs w:val="22"/>
              </w:rPr>
              <w:t>（1）企业提供《营业执照》或事业单位法人证书复印件，同时提供的企业信息与“国家企业信用信息公示系统”公示的信息一致，并显示企业处于存续状态；</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rFonts w:hint="eastAsia"/>
                <w:color w:val="auto"/>
                <w:kern w:val="0"/>
                <w:sz w:val="22"/>
                <w:szCs w:val="22"/>
              </w:rPr>
            </w:pPr>
            <w:r>
              <w:rPr>
                <w:rFonts w:hint="eastAsia"/>
                <w:color w:val="auto"/>
                <w:kern w:val="0"/>
                <w:sz w:val="22"/>
                <w:szCs w:val="22"/>
              </w:rPr>
              <w:t>（2）申请人如选择“创新医疗器械”/“应急医疗器械”/“优先医疗器械”，</w:t>
            </w:r>
            <w:r>
              <w:rPr>
                <w:rFonts w:hint="eastAsia"/>
                <w:color w:val="auto"/>
                <w:kern w:val="0"/>
                <w:sz w:val="22"/>
                <w:szCs w:val="22"/>
                <w:lang w:eastAsia="zh-CN"/>
              </w:rPr>
              <w:t>提供</w:t>
            </w:r>
            <w:r>
              <w:rPr>
                <w:rFonts w:hint="eastAsia"/>
                <w:color w:val="auto"/>
                <w:kern w:val="0"/>
                <w:sz w:val="22"/>
                <w:szCs w:val="22"/>
              </w:rPr>
              <w:t>省药品监督管理局出具的湖南省第二类创新医疗器械特别审查结果通知单/湖南省第二类医疗器械应急审批结果通知单/湖南省第二类医疗器械优先审批结果通知单。</w:t>
            </w:r>
          </w:p>
          <w:p>
            <w:pPr>
              <w:keepNext w:val="0"/>
              <w:keepLines w:val="0"/>
              <w:pageBreakBefore w:val="0"/>
              <w:widowControl w:val="0"/>
              <w:kinsoku/>
              <w:wordWrap/>
              <w:overflowPunct w:val="0"/>
              <w:topLinePunct w:val="0"/>
              <w:autoSpaceDE/>
              <w:autoSpaceDN/>
              <w:bidi w:val="0"/>
              <w:adjustRightInd/>
              <w:snapToGrid/>
              <w:jc w:val="left"/>
              <w:textAlignment w:val="auto"/>
              <w:rPr>
                <w:color w:val="auto"/>
                <w:kern w:val="0"/>
                <w:sz w:val="22"/>
                <w:szCs w:val="22"/>
              </w:rPr>
            </w:pPr>
            <w:r>
              <w:rPr>
                <w:rFonts w:hint="eastAsia"/>
                <w:color w:val="auto"/>
                <w:kern w:val="0"/>
                <w:sz w:val="22"/>
                <w:szCs w:val="22"/>
              </w:rPr>
              <w:t>（</w:t>
            </w:r>
            <w:r>
              <w:rPr>
                <w:rFonts w:hint="eastAsia"/>
                <w:color w:val="auto"/>
                <w:kern w:val="0"/>
                <w:sz w:val="22"/>
                <w:szCs w:val="22"/>
                <w:lang w:val="en-US" w:eastAsia="zh-CN"/>
              </w:rPr>
              <w:t>3</w:t>
            </w:r>
            <w:r>
              <w:rPr>
                <w:rFonts w:hint="eastAsia"/>
                <w:color w:val="auto"/>
                <w:kern w:val="0"/>
                <w:sz w:val="22"/>
                <w:szCs w:val="22"/>
              </w:rPr>
              <w:t>）委托生产情形，提供受托企业《营业执照》复印件以及委托生产产品信息的委托生产合同和质量协议。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44"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CH1.6</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申报前与监管机构的联系情况和沟通记录</w:t>
            </w:r>
          </w:p>
        </w:tc>
        <w:tc>
          <w:tcPr>
            <w:tcW w:w="769" w:type="dxa"/>
            <w:shd w:val="clear" w:color="auto" w:fill="FFFFFF"/>
            <w:vAlign w:val="center"/>
          </w:tcPr>
          <w:p>
            <w:pPr>
              <w:overflowPunct w:val="0"/>
              <w:jc w:val="center"/>
              <w:rPr>
                <w:color w:val="auto"/>
                <w:kern w:val="0"/>
                <w:sz w:val="22"/>
                <w:szCs w:val="22"/>
                <w:highlight w:val="yellow"/>
              </w:rPr>
            </w:pPr>
            <w:r>
              <w:rPr>
                <w:rFonts w:hint="eastAsia"/>
                <w:color w:val="auto"/>
                <w:kern w:val="0"/>
                <w:sz w:val="22"/>
                <w:szCs w:val="22"/>
              </w:rPr>
              <w:t>C</w:t>
            </w: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rPr>
                <w:color w:val="auto"/>
                <w:kern w:val="0"/>
                <w:sz w:val="22"/>
                <w:szCs w:val="22"/>
              </w:rPr>
            </w:pPr>
            <w:r>
              <w:rPr>
                <w:rFonts w:hint="eastAsia"/>
                <w:color w:val="auto"/>
                <w:kern w:val="0"/>
                <w:sz w:val="22"/>
                <w:szCs w:val="22"/>
              </w:rPr>
              <w:t>（1）在产品申报前，如果申请人与监管机构针对申报产品以会议形式进行了沟通，或者申报产品与既往注册申报相关。应当提供下列内容（如适用）：</w:t>
            </w:r>
          </w:p>
          <w:p>
            <w:pPr>
              <w:keepNext w:val="0"/>
              <w:keepLines w:val="0"/>
              <w:pageBreakBefore w:val="0"/>
              <w:widowControl w:val="0"/>
              <w:kinsoku/>
              <w:wordWrap/>
              <w:overflowPunct w:val="0"/>
              <w:topLinePunct w:val="0"/>
              <w:autoSpaceDE/>
              <w:autoSpaceDN/>
              <w:bidi w:val="0"/>
              <w:adjustRightInd/>
              <w:snapToGrid/>
              <w:jc w:val="left"/>
              <w:textAlignment w:val="auto"/>
              <w:rPr>
                <w:color w:val="auto"/>
                <w:kern w:val="0"/>
                <w:sz w:val="22"/>
                <w:szCs w:val="22"/>
              </w:rPr>
            </w:pPr>
            <w:r>
              <w:rPr>
                <w:rFonts w:hint="eastAsia"/>
                <w:color w:val="auto"/>
                <w:kern w:val="0"/>
                <w:sz w:val="22"/>
                <w:szCs w:val="22"/>
              </w:rPr>
              <w:t>①列出监管机构回复的申报前沟通。</w:t>
            </w:r>
          </w:p>
          <w:p>
            <w:pPr>
              <w:keepNext w:val="0"/>
              <w:keepLines w:val="0"/>
              <w:pageBreakBefore w:val="0"/>
              <w:widowControl w:val="0"/>
              <w:kinsoku/>
              <w:wordWrap/>
              <w:overflowPunct w:val="0"/>
              <w:topLinePunct w:val="0"/>
              <w:autoSpaceDE/>
              <w:autoSpaceDN/>
              <w:bidi w:val="0"/>
              <w:adjustRightInd/>
              <w:snapToGrid/>
              <w:jc w:val="left"/>
              <w:textAlignment w:val="auto"/>
              <w:rPr>
                <w:color w:val="auto"/>
                <w:kern w:val="0"/>
                <w:sz w:val="22"/>
                <w:szCs w:val="22"/>
              </w:rPr>
            </w:pPr>
            <w:r>
              <w:rPr>
                <w:rFonts w:hint="eastAsia"/>
                <w:color w:val="auto"/>
                <w:kern w:val="0"/>
                <w:sz w:val="22"/>
                <w:szCs w:val="22"/>
              </w:rPr>
              <w:t>②既往注册申报产品的受理号。</w:t>
            </w:r>
          </w:p>
          <w:p>
            <w:pPr>
              <w:keepNext w:val="0"/>
              <w:keepLines w:val="0"/>
              <w:pageBreakBefore w:val="0"/>
              <w:widowControl w:val="0"/>
              <w:kinsoku/>
              <w:wordWrap/>
              <w:overflowPunct w:val="0"/>
              <w:topLinePunct w:val="0"/>
              <w:autoSpaceDE/>
              <w:autoSpaceDN/>
              <w:bidi w:val="0"/>
              <w:adjustRightInd/>
              <w:snapToGrid/>
              <w:jc w:val="left"/>
              <w:textAlignment w:val="auto"/>
              <w:rPr>
                <w:color w:val="auto"/>
                <w:kern w:val="0"/>
                <w:sz w:val="22"/>
                <w:szCs w:val="22"/>
              </w:rPr>
            </w:pPr>
            <w:r>
              <w:rPr>
                <w:rFonts w:hint="eastAsia"/>
                <w:color w:val="auto"/>
                <w:kern w:val="0"/>
                <w:sz w:val="22"/>
                <w:szCs w:val="22"/>
              </w:rPr>
              <w:t>③既往申报前沟通的相关资料，如既往申报会议前提交的信息、会议议程、演示幻灯片、最终的会议纪要、会议中待办事项的回复，以及所有与申请相关的电子邮件。</w:t>
            </w:r>
          </w:p>
          <w:p>
            <w:pPr>
              <w:keepNext w:val="0"/>
              <w:keepLines w:val="0"/>
              <w:pageBreakBefore w:val="0"/>
              <w:widowControl w:val="0"/>
              <w:kinsoku/>
              <w:wordWrap/>
              <w:overflowPunct w:val="0"/>
              <w:topLinePunct w:val="0"/>
              <w:autoSpaceDE/>
              <w:autoSpaceDN/>
              <w:bidi w:val="0"/>
              <w:adjustRightInd/>
              <w:snapToGrid/>
              <w:jc w:val="left"/>
              <w:textAlignment w:val="auto"/>
              <w:rPr>
                <w:color w:val="auto"/>
                <w:kern w:val="0"/>
                <w:sz w:val="22"/>
                <w:szCs w:val="22"/>
              </w:rPr>
            </w:pPr>
            <w:r>
              <w:rPr>
                <w:rFonts w:hint="eastAsia"/>
                <w:color w:val="auto"/>
                <w:kern w:val="0"/>
                <w:sz w:val="22"/>
                <w:szCs w:val="22"/>
              </w:rPr>
              <w:t>④既往申报（如自行撤销/不予注册上市申请、临床试验审批申请等）中监管机构已明确的相关问题。</w:t>
            </w:r>
          </w:p>
          <w:p>
            <w:pPr>
              <w:keepNext w:val="0"/>
              <w:keepLines w:val="0"/>
              <w:pageBreakBefore w:val="0"/>
              <w:widowControl w:val="0"/>
              <w:kinsoku/>
              <w:wordWrap/>
              <w:overflowPunct w:val="0"/>
              <w:topLinePunct w:val="0"/>
              <w:autoSpaceDE/>
              <w:autoSpaceDN/>
              <w:bidi w:val="0"/>
              <w:adjustRightInd/>
              <w:snapToGrid/>
              <w:jc w:val="left"/>
              <w:textAlignment w:val="auto"/>
              <w:rPr>
                <w:color w:val="auto"/>
                <w:kern w:val="0"/>
                <w:sz w:val="22"/>
                <w:szCs w:val="22"/>
              </w:rPr>
            </w:pPr>
            <w:r>
              <w:rPr>
                <w:rFonts w:hint="eastAsia"/>
                <w:color w:val="auto"/>
                <w:kern w:val="0"/>
                <w:sz w:val="22"/>
                <w:szCs w:val="22"/>
              </w:rPr>
              <w:t>⑤在申报前沟通中，申请人明确提出的问题，以及监管机构提供的建议。</w:t>
            </w:r>
          </w:p>
          <w:p>
            <w:pPr>
              <w:keepNext w:val="0"/>
              <w:keepLines w:val="0"/>
              <w:pageBreakBefore w:val="0"/>
              <w:widowControl w:val="0"/>
              <w:kinsoku/>
              <w:wordWrap/>
              <w:overflowPunct w:val="0"/>
              <w:topLinePunct w:val="0"/>
              <w:autoSpaceDE/>
              <w:autoSpaceDN/>
              <w:bidi w:val="0"/>
              <w:adjustRightInd/>
              <w:snapToGrid/>
              <w:jc w:val="left"/>
              <w:textAlignment w:val="auto"/>
              <w:rPr>
                <w:color w:val="auto"/>
                <w:kern w:val="0"/>
                <w:sz w:val="22"/>
                <w:szCs w:val="22"/>
              </w:rPr>
            </w:pPr>
            <w:r>
              <w:rPr>
                <w:rFonts w:hint="eastAsia"/>
                <w:color w:val="auto"/>
                <w:kern w:val="0"/>
                <w:sz w:val="22"/>
                <w:szCs w:val="22"/>
              </w:rPr>
              <w:t>⑥说明在本次申报中如何解决上述问题。</w:t>
            </w:r>
          </w:p>
          <w:p>
            <w:pPr>
              <w:keepNext w:val="0"/>
              <w:keepLines w:val="0"/>
              <w:pageBreakBefore w:val="0"/>
              <w:widowControl w:val="0"/>
              <w:kinsoku/>
              <w:wordWrap/>
              <w:overflowPunct w:val="0"/>
              <w:topLinePunct w:val="0"/>
              <w:autoSpaceDE/>
              <w:autoSpaceDN/>
              <w:bidi w:val="0"/>
              <w:adjustRightInd/>
              <w:snapToGrid/>
              <w:jc w:val="left"/>
              <w:textAlignment w:val="auto"/>
              <w:rPr>
                <w:color w:val="auto"/>
                <w:kern w:val="0"/>
                <w:sz w:val="22"/>
                <w:szCs w:val="22"/>
                <w:highlight w:val="yellow"/>
              </w:rPr>
            </w:pPr>
            <w:r>
              <w:rPr>
                <w:rFonts w:hint="eastAsia"/>
                <w:color w:val="auto"/>
                <w:kern w:val="0"/>
                <w:sz w:val="22"/>
                <w:szCs w:val="22"/>
              </w:rPr>
              <w:t>（2）如不适用，应当明确声明申报产品没有既往申报和/或申报前沟通。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12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CH1.7</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申报产品符合现行国家标准、行业标准的清单</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96" w:type="dxa"/>
            <w:gridSpan w:val="4"/>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color w:val="auto"/>
                <w:kern w:val="0"/>
                <w:sz w:val="22"/>
                <w:szCs w:val="22"/>
              </w:rPr>
            </w:pPr>
            <w:r>
              <w:rPr>
                <w:b/>
                <w:bCs/>
                <w:color w:val="auto"/>
                <w:kern w:val="0"/>
                <w:sz w:val="22"/>
                <w:szCs w:val="22"/>
              </w:rPr>
              <w:t>第2章——</w:t>
            </w:r>
            <w:r>
              <w:rPr>
                <w:rFonts w:hint="eastAsia"/>
                <w:b/>
                <w:bCs/>
                <w:color w:val="auto"/>
                <w:kern w:val="0"/>
                <w:sz w:val="22"/>
                <w:szCs w:val="22"/>
              </w:rPr>
              <w:t>综述资料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color w:val="auto"/>
                <w:kern w:val="0"/>
                <w:sz w:val="22"/>
                <w:szCs w:val="22"/>
              </w:rPr>
              <w:t>章节目录</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9"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color w:val="auto"/>
                <w:kern w:val="0"/>
                <w:sz w:val="22"/>
                <w:szCs w:val="22"/>
              </w:rPr>
              <w:t>概述</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(1)描述申报产品的通用名称及其确定依据；</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(2)描述申报产品的管理类别，包括：所属分类子目录名称、管理类别、分类编码；</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(3)描述申报产品预期用途；</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(4)如适用，描述有关申报产品的背景信息概述或特别细节，如：申报产品的历史概述、历次提交的信息，与其他经批准上市产品的关系等。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产品描述</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NR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w:t>
            </w:r>
            <w:r>
              <w:rPr>
                <w:rFonts w:hint="eastAsia"/>
                <w:b/>
                <w:bCs/>
                <w:color w:val="auto"/>
                <w:kern w:val="0"/>
                <w:sz w:val="22"/>
                <w:szCs w:val="22"/>
              </w:rPr>
              <w:t>3</w:t>
            </w:r>
            <w:r>
              <w:rPr>
                <w:b/>
                <w:bCs/>
                <w:color w:val="auto"/>
                <w:kern w:val="0"/>
                <w:sz w:val="22"/>
                <w:szCs w:val="22"/>
              </w:rPr>
              <w:t>.1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color w:val="auto"/>
                <w:kern w:val="0"/>
                <w:sz w:val="22"/>
                <w:szCs w:val="22"/>
              </w:rPr>
              <w:t>产品综述</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①描述产品所采用的技术原理，产品组成，原材料的来源及制备方法，主要生产工艺，检验方法，质控品的制备方法及赋值情况，如产品检测需要进行校准，应描述校准品的制备方法及溯源情况。</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注：技术原理包括反应原理（如双抗原夹心法、杂交捕获法），方法学（如化学发光法、比浊法），测量方法（如终点法、速率法），信号处理方法，数据获取和解读方式，分析前处理步骤等。</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②描述产品主要研究结果的总结和评价,包括分析性能评估、阳性判断值或参考区间、稳定性以及临床评价等。</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③描述不同包装规格之间的差异。</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④描述产品中使用的生物材料或衍生物（如适用），包括生物学来源（如人、动物、病原体、重组或发酵产物）和组织来源（如血液）。人源性材料须对有关传染病（HIV、HBV、HCV等）病原体检测予以说明；其他动物源及微生物来源的材料，应当说明其在产品运输、使用过程中对使用者和环境是安全的，并提供相关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62"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w:t>
            </w:r>
            <w:r>
              <w:rPr>
                <w:rFonts w:hint="eastAsia"/>
                <w:b/>
                <w:bCs/>
                <w:color w:val="auto"/>
                <w:kern w:val="0"/>
                <w:sz w:val="22"/>
                <w:szCs w:val="22"/>
              </w:rPr>
              <w:t>3</w:t>
            </w:r>
            <w:r>
              <w:rPr>
                <w:b/>
                <w:bCs/>
                <w:color w:val="auto"/>
                <w:kern w:val="0"/>
                <w:sz w:val="22"/>
                <w:szCs w:val="22"/>
              </w:rPr>
              <w:t>.2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包装描述</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有关产品包装的信息，包括包装形状和材料。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w:t>
            </w:r>
            <w:r>
              <w:rPr>
                <w:rFonts w:hint="eastAsia"/>
                <w:b/>
                <w:bCs/>
                <w:color w:val="auto"/>
                <w:kern w:val="0"/>
                <w:sz w:val="22"/>
                <w:szCs w:val="22"/>
              </w:rPr>
              <w:t>3</w:t>
            </w:r>
            <w:r>
              <w:rPr>
                <w:b/>
                <w:bCs/>
                <w:color w:val="auto"/>
                <w:kern w:val="0"/>
                <w:sz w:val="22"/>
                <w:szCs w:val="22"/>
              </w:rPr>
              <w:t>.3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研发历程</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阐述申请注册产品的研发背景和目的。如有参考的同类产品或前代产品，应当提供同类产品和/或前代产品的信息，并说明选择其作为研发参考的原因。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215"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w:t>
            </w:r>
            <w:r>
              <w:rPr>
                <w:rFonts w:hint="eastAsia"/>
                <w:b/>
                <w:bCs/>
                <w:color w:val="auto"/>
                <w:kern w:val="0"/>
                <w:sz w:val="22"/>
                <w:szCs w:val="22"/>
              </w:rPr>
              <w:t>3</w:t>
            </w:r>
            <w:r>
              <w:rPr>
                <w:b/>
                <w:bCs/>
                <w:color w:val="auto"/>
                <w:kern w:val="0"/>
                <w:sz w:val="22"/>
                <w:szCs w:val="22"/>
              </w:rPr>
              <w:t>.4</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与同类和/或前代产品的比较</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①境内、外已有同类产品和/或前代产品上市，申请人应提供其产品名称、生产企业、注册情况，并列表比较申报产品与同类产品和/或前代产品在技术原理、预期用途、使用方法、性能指标、临床应用情况等方面的异同。</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②境内、外尚无同类产品上市，或申报产品改变常规预期用途并具有新的临床意义，申请人需提供分析物与预期临床适应证之间关系的文献资料，包括临床研究文献综述、相关临床诊疗指南文件、行业公认的共识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CH2.4</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预期用途</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NR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715"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w:t>
            </w:r>
            <w:r>
              <w:rPr>
                <w:rFonts w:hint="eastAsia"/>
                <w:b/>
                <w:bCs/>
                <w:color w:val="auto"/>
                <w:kern w:val="0"/>
                <w:sz w:val="22"/>
                <w:szCs w:val="22"/>
              </w:rPr>
              <w:t>4</w:t>
            </w:r>
            <w:r>
              <w:rPr>
                <w:b/>
                <w:bCs/>
                <w:color w:val="auto"/>
                <w:kern w:val="0"/>
                <w:sz w:val="22"/>
                <w:szCs w:val="22"/>
              </w:rPr>
              <w:t>.1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预期用途</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应明确产品用于检测的分析物和功能（如辅助诊断、鉴别诊断、筛查或监测等），并写明适用仪器、使用方法（自动/半自动/手工）、检测类型（定性/定量/半定量）、样本类型（如血清、血浆、尿液、脑脊液）和/或添加剂(如抗凝剂)、样本采集及保存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w:t>
            </w:r>
            <w:r>
              <w:rPr>
                <w:rFonts w:hint="eastAsia"/>
                <w:b/>
                <w:bCs/>
                <w:color w:val="auto"/>
                <w:kern w:val="0"/>
                <w:sz w:val="22"/>
                <w:szCs w:val="22"/>
              </w:rPr>
              <w:t>4</w:t>
            </w:r>
            <w:r>
              <w:rPr>
                <w:b/>
                <w:bCs/>
                <w:color w:val="auto"/>
                <w:kern w:val="0"/>
                <w:sz w:val="22"/>
                <w:szCs w:val="22"/>
              </w:rPr>
              <w:t>.2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临床适应证</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临床适应证的发生率、易感人群、分析物的详细介绍及与临床适应证的关系，相关的临床或实验室诊断方法。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704"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w:t>
            </w:r>
            <w:r>
              <w:rPr>
                <w:rFonts w:hint="eastAsia"/>
                <w:b/>
                <w:bCs/>
                <w:color w:val="auto"/>
                <w:kern w:val="0"/>
                <w:sz w:val="22"/>
                <w:szCs w:val="22"/>
              </w:rPr>
              <w:t>4</w:t>
            </w:r>
            <w:r>
              <w:rPr>
                <w:b/>
                <w:bCs/>
                <w:color w:val="auto"/>
                <w:kern w:val="0"/>
                <w:sz w:val="22"/>
                <w:szCs w:val="22"/>
              </w:rPr>
              <w:t>.3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适用人群</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目标患者/人群的信息，对于适用人群包含亚群、儿童或新生儿的情况，应进行明确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4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w:t>
            </w:r>
            <w:r>
              <w:rPr>
                <w:rFonts w:hint="eastAsia"/>
                <w:b/>
                <w:bCs/>
                <w:color w:val="auto"/>
                <w:kern w:val="0"/>
                <w:sz w:val="22"/>
                <w:szCs w:val="22"/>
              </w:rPr>
              <w:t>4</w:t>
            </w:r>
            <w:r>
              <w:rPr>
                <w:b/>
                <w:bCs/>
                <w:color w:val="auto"/>
                <w:kern w:val="0"/>
                <w:sz w:val="22"/>
                <w:szCs w:val="22"/>
              </w:rPr>
              <w:t>.4</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预期使用者</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专业或非专业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w:t>
            </w:r>
            <w:r>
              <w:rPr>
                <w:rFonts w:hint="eastAsia"/>
                <w:b/>
                <w:bCs/>
                <w:color w:val="auto"/>
                <w:kern w:val="0"/>
                <w:sz w:val="22"/>
                <w:szCs w:val="22"/>
              </w:rPr>
              <w:t>4</w:t>
            </w:r>
            <w:r>
              <w:rPr>
                <w:b/>
                <w:bCs/>
                <w:color w:val="auto"/>
                <w:kern w:val="0"/>
                <w:sz w:val="22"/>
                <w:szCs w:val="22"/>
              </w:rPr>
              <w:t>.</w:t>
            </w:r>
            <w:r>
              <w:rPr>
                <w:rFonts w:hint="eastAsia"/>
                <w:b/>
                <w:bCs/>
                <w:color w:val="auto"/>
                <w:kern w:val="0"/>
                <w:sz w:val="22"/>
                <w:szCs w:val="22"/>
              </w:rPr>
              <w:t>5</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预期使用环境</w:t>
            </w:r>
          </w:p>
        </w:tc>
        <w:tc>
          <w:tcPr>
            <w:tcW w:w="769" w:type="dxa"/>
            <w:shd w:val="clear" w:color="auto" w:fill="FFFFFF"/>
            <w:vAlign w:val="center"/>
          </w:tcPr>
          <w:p>
            <w:pPr>
              <w:overflowPunct w:val="0"/>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①申报产品预期使用的地点。</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②可能会影响其安全性和有效性的环境条件（如温度、湿度、海拔）。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w:t>
            </w:r>
            <w:r>
              <w:rPr>
                <w:rFonts w:hint="eastAsia"/>
                <w:b/>
                <w:bCs/>
                <w:color w:val="auto"/>
                <w:kern w:val="0"/>
                <w:sz w:val="22"/>
                <w:szCs w:val="22"/>
              </w:rPr>
              <w:t>5</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申报产品上市历史</w:t>
            </w:r>
          </w:p>
        </w:tc>
        <w:tc>
          <w:tcPr>
            <w:tcW w:w="769" w:type="dxa"/>
            <w:shd w:val="clear" w:color="auto" w:fill="FFFFFF"/>
            <w:vAlign w:val="center"/>
          </w:tcPr>
          <w:p>
            <w:pPr>
              <w:overflowPunct w:val="0"/>
              <w:jc w:val="center"/>
              <w:rPr>
                <w:color w:val="auto"/>
                <w:kern w:val="0"/>
                <w:sz w:val="22"/>
                <w:szCs w:val="22"/>
              </w:rPr>
            </w:pPr>
            <w:r>
              <w:rPr>
                <w:rFonts w:hint="eastAsia"/>
                <w:color w:val="auto"/>
                <w:kern w:val="0"/>
                <w:sz w:val="22"/>
                <w:szCs w:val="22"/>
              </w:rPr>
              <w:t>NR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w:t>
            </w:r>
            <w:r>
              <w:rPr>
                <w:rFonts w:hint="eastAsia"/>
                <w:b/>
                <w:bCs/>
                <w:color w:val="auto"/>
                <w:kern w:val="0"/>
                <w:sz w:val="22"/>
                <w:szCs w:val="22"/>
              </w:rPr>
              <w:t>5</w:t>
            </w:r>
            <w:r>
              <w:rPr>
                <w:b/>
                <w:bCs/>
                <w:color w:val="auto"/>
                <w:kern w:val="0"/>
                <w:sz w:val="22"/>
                <w:szCs w:val="22"/>
              </w:rPr>
              <w:t>.1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color w:val="auto"/>
                <w:kern w:val="0"/>
                <w:sz w:val="22"/>
                <w:szCs w:val="22"/>
              </w:rPr>
              <w:t>上市情况</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截至提交注册申请前，申报产品在各国家或地区的上市批准时间、销售情况。若申报产品在不同国家或地区上市时有差异（如设计、标签、技术参数等），应当逐一描述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w:t>
            </w:r>
            <w:r>
              <w:rPr>
                <w:rFonts w:hint="eastAsia"/>
                <w:b/>
                <w:bCs/>
                <w:color w:val="auto"/>
                <w:kern w:val="0"/>
                <w:sz w:val="22"/>
                <w:szCs w:val="22"/>
              </w:rPr>
              <w:t>5</w:t>
            </w:r>
            <w:r>
              <w:rPr>
                <w:b/>
                <w:bCs/>
                <w:color w:val="auto"/>
                <w:kern w:val="0"/>
                <w:sz w:val="22"/>
                <w:szCs w:val="22"/>
              </w:rPr>
              <w:t>.2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color w:val="auto"/>
                <w:kern w:val="0"/>
                <w:sz w:val="22"/>
                <w:szCs w:val="22"/>
              </w:rPr>
              <w:t>不良事件和召回</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如适用，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同时，应当对上述不良事件、召回进行分析评价，阐明不良事件、召回发生的原因并对其安全性、有效性的影响予以说明。若不良事件、召回数量大，应当根据事件类型总结每个类型涉及的数量。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w:t>
            </w:r>
            <w:r>
              <w:rPr>
                <w:rFonts w:hint="eastAsia"/>
                <w:b/>
                <w:bCs/>
                <w:color w:val="auto"/>
                <w:kern w:val="0"/>
                <w:sz w:val="22"/>
                <w:szCs w:val="22"/>
              </w:rPr>
              <w:t>5</w:t>
            </w:r>
            <w:r>
              <w:rPr>
                <w:b/>
                <w:bCs/>
                <w:color w:val="auto"/>
                <w:kern w:val="0"/>
                <w:sz w:val="22"/>
                <w:szCs w:val="22"/>
              </w:rPr>
              <w:t>.3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color w:val="auto"/>
                <w:kern w:val="0"/>
                <w:sz w:val="22"/>
                <w:szCs w:val="22"/>
              </w:rPr>
              <w:t>销售、不良事件及召回率</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如适用，应当提交申报产品近五年在各国家（地区）销售数量的总结，按以下方式提供在各国家（地区）的不良事件、召回比率，并进行比率计算关键分析。</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如：不良事件发生率＝不良事件数量÷销售数量×100%，召回发生率＝召回数量÷销售数量×100%。发生率可以采用每使用患者年或每使用进行计算，申请人应当描述发生率计算方法。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w:t>
            </w:r>
            <w:r>
              <w:rPr>
                <w:rFonts w:hint="eastAsia"/>
                <w:b/>
                <w:bCs/>
                <w:color w:val="auto"/>
                <w:kern w:val="0"/>
                <w:sz w:val="22"/>
                <w:szCs w:val="22"/>
              </w:rPr>
              <w:t>6</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color w:val="auto"/>
                <w:kern w:val="0"/>
                <w:sz w:val="22"/>
                <w:szCs w:val="22"/>
              </w:rPr>
              <w:t>其他需说明的内容</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（1）除申报产品外，检测系统的其他组成部分，包括但不限于:样本处理用试剂、适用仪器、质控品、校准品、独立软件等基本信息，及其在检测中发挥的作用，必要时应提交相应的说明书。</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 xml:space="preserve">（2）对于已获得批准的检测系统的其他组成部分，应当提供注册证编号和国家药监局官方网站公布的注册证信息。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96" w:type="dxa"/>
            <w:gridSpan w:val="4"/>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color w:val="auto"/>
                <w:kern w:val="0"/>
                <w:sz w:val="22"/>
                <w:szCs w:val="22"/>
              </w:rPr>
            </w:pPr>
            <w:r>
              <w:rPr>
                <w:b/>
                <w:bCs/>
                <w:color w:val="auto"/>
                <w:kern w:val="0"/>
                <w:sz w:val="22"/>
                <w:szCs w:val="22"/>
              </w:rPr>
              <w:t>第3章——</w:t>
            </w:r>
            <w:r>
              <w:rPr>
                <w:rFonts w:hint="eastAsia"/>
                <w:b/>
                <w:bCs/>
                <w:color w:val="auto"/>
                <w:kern w:val="0"/>
                <w:sz w:val="22"/>
                <w:szCs w:val="22"/>
              </w:rPr>
              <w:t>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color w:val="auto"/>
                <w:kern w:val="0"/>
                <w:sz w:val="22"/>
                <w:szCs w:val="22"/>
              </w:rPr>
              <w:t>章节目录</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54"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产品风险管理资料</w:t>
            </w:r>
          </w:p>
        </w:tc>
        <w:tc>
          <w:tcPr>
            <w:tcW w:w="769" w:type="dxa"/>
            <w:shd w:val="clear" w:color="auto" w:fill="FFFFFF"/>
            <w:vAlign w:val="center"/>
          </w:tcPr>
          <w:p>
            <w:pPr>
              <w:overflowPunct w:val="0"/>
              <w:jc w:val="center"/>
              <w:rPr>
                <w:color w:val="auto"/>
                <w:kern w:val="0"/>
                <w:sz w:val="22"/>
                <w:szCs w:val="22"/>
              </w:rPr>
            </w:pPr>
            <w:r>
              <w:rPr>
                <w:rFonts w:hint="eastAsia"/>
                <w:color w:val="auto"/>
                <w:kern w:val="0"/>
                <w:sz w:val="22"/>
                <w:szCs w:val="22"/>
              </w:rPr>
              <w:t>N</w:t>
            </w: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24"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CH3.2</w:t>
            </w:r>
            <w:r>
              <w:rPr>
                <w:rFonts w:hint="eastAsia"/>
                <w:b/>
                <w:bCs/>
                <w:color w:val="auto"/>
                <w:kern w:val="0"/>
                <w:sz w:val="22"/>
                <w:szCs w:val="22"/>
              </w:rPr>
              <w:t>.1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风险分析</w:t>
            </w:r>
          </w:p>
        </w:tc>
        <w:tc>
          <w:tcPr>
            <w:tcW w:w="769" w:type="dxa"/>
            <w:shd w:val="clear" w:color="auto" w:fill="FFFFFF"/>
            <w:vAlign w:val="center"/>
          </w:tcPr>
          <w:p>
            <w:pPr>
              <w:overflowPunct w:val="0"/>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包括体外诊断试剂预期用途和与安全性有关特征的识别、危害的识别、估计每个危害处境的风险。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24"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CH3.2</w:t>
            </w:r>
            <w:r>
              <w:rPr>
                <w:rFonts w:hint="eastAsia"/>
                <w:b/>
                <w:bCs/>
                <w:color w:val="auto"/>
                <w:kern w:val="0"/>
                <w:sz w:val="22"/>
                <w:szCs w:val="22"/>
              </w:rPr>
              <w:t>.2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风险评价</w:t>
            </w:r>
          </w:p>
        </w:tc>
        <w:tc>
          <w:tcPr>
            <w:tcW w:w="769" w:type="dxa"/>
            <w:shd w:val="clear" w:color="auto" w:fill="FFFFFF"/>
            <w:vAlign w:val="center"/>
          </w:tcPr>
          <w:p>
            <w:pPr>
              <w:overflowPunct w:val="0"/>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对于每个已识别的危害处境，评价和决定是否需要降低风险，若需要，描述如何进行相应风险控制。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24"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CH3.2</w:t>
            </w:r>
            <w:r>
              <w:rPr>
                <w:rFonts w:hint="eastAsia"/>
                <w:b/>
                <w:bCs/>
                <w:color w:val="auto"/>
                <w:kern w:val="0"/>
                <w:sz w:val="22"/>
                <w:szCs w:val="22"/>
              </w:rPr>
              <w:t>.3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风险控制</w:t>
            </w:r>
          </w:p>
        </w:tc>
        <w:tc>
          <w:tcPr>
            <w:tcW w:w="769" w:type="dxa"/>
            <w:shd w:val="clear" w:color="auto" w:fill="FFFFFF"/>
            <w:vAlign w:val="center"/>
          </w:tcPr>
          <w:p>
            <w:pPr>
              <w:overflowPunct w:val="0"/>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描述为降低风险所执行风险控制的相关内容。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CH3.2</w:t>
            </w:r>
            <w:r>
              <w:rPr>
                <w:rFonts w:hint="eastAsia"/>
                <w:b/>
                <w:bCs/>
                <w:color w:val="auto"/>
                <w:kern w:val="0"/>
                <w:sz w:val="22"/>
                <w:szCs w:val="22"/>
              </w:rPr>
              <w:t>.4</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任何一个或多个剩余风险的可接受性评定</w:t>
            </w:r>
          </w:p>
        </w:tc>
        <w:tc>
          <w:tcPr>
            <w:tcW w:w="769" w:type="dxa"/>
            <w:shd w:val="clear" w:color="auto" w:fill="FFFFFF"/>
            <w:vAlign w:val="center"/>
          </w:tcPr>
          <w:p>
            <w:pPr>
              <w:overflowPunct w:val="0"/>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24"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CH3.2</w:t>
            </w:r>
            <w:r>
              <w:rPr>
                <w:rFonts w:hint="eastAsia"/>
                <w:b/>
                <w:bCs/>
                <w:color w:val="auto"/>
                <w:kern w:val="0"/>
                <w:sz w:val="22"/>
                <w:szCs w:val="22"/>
              </w:rPr>
              <w:t>.5</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与产品受益相比，综合评价产品风险可接受</w:t>
            </w:r>
          </w:p>
        </w:tc>
        <w:tc>
          <w:tcPr>
            <w:tcW w:w="769" w:type="dxa"/>
            <w:shd w:val="clear" w:color="auto" w:fill="FFFFFF"/>
            <w:vAlign w:val="center"/>
          </w:tcPr>
          <w:p>
            <w:pPr>
              <w:overflowPunct w:val="0"/>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606"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体外诊断试剂安全和性能基本原则清单</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说明产品符合《体外诊断试剂安全和性能基本原则清单》（见附表4）各项适用要求所采用的方法，以及证明其符合性的文件。对于其中不适用的各项要求，应当说明理由。</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对于包含在产品注册申报资料中的文件，应当说明其在申报资料中的具体位置；对于未包含在产品注册申报资料中的文件，应当注明该证据文件名称及其在质量管理体系文件中的编号备查。具体清单详见附表4。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945"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CH3.4</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产品技术要求及检验报告</w:t>
            </w:r>
          </w:p>
        </w:tc>
        <w:tc>
          <w:tcPr>
            <w:tcW w:w="769" w:type="dxa"/>
            <w:shd w:val="clear" w:color="auto" w:fill="FFFFFF"/>
            <w:vAlign w:val="center"/>
          </w:tcPr>
          <w:p>
            <w:pPr>
              <w:overflowPunct w:val="0"/>
              <w:jc w:val="center"/>
              <w:rPr>
                <w:color w:val="auto"/>
                <w:kern w:val="0"/>
                <w:sz w:val="22"/>
                <w:szCs w:val="22"/>
              </w:rPr>
            </w:pPr>
            <w:r>
              <w:rPr>
                <w:rFonts w:hint="eastAsia"/>
                <w:color w:val="auto"/>
                <w:kern w:val="0"/>
                <w:sz w:val="22"/>
                <w:szCs w:val="22"/>
              </w:rPr>
              <w:t>NR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685"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CH3.4.1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申报产品适用标准情况</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报产品应当符合适用的强制性标准。对于强制性行业标准，若申报产品结构特征、技术原理、预期用途、使用方式等与强制性标准的适用范围不一致，申请人应当提出不适用强制性标准的说明，并提供经验证的证明性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493"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CH3.4.2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产品技术要求</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①体外诊断试剂产品技术要求应当按照相关要求的规定编制。</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②提交产品技术要求以及产品技术要求一致性声明，产品技术要求名称与申请表中产品名称一致。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134"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CH3.4.</w:t>
            </w:r>
            <w:r>
              <w:rPr>
                <w:rFonts w:hint="eastAsia"/>
                <w:b/>
                <w:bCs/>
                <w:color w:val="auto"/>
                <w:kern w:val="0"/>
                <w:sz w:val="22"/>
                <w:szCs w:val="22"/>
              </w:rPr>
              <w:t>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产品检验报告</w:t>
            </w:r>
          </w:p>
        </w:tc>
        <w:tc>
          <w:tcPr>
            <w:tcW w:w="769" w:type="dxa"/>
            <w:shd w:val="clear" w:color="auto" w:fill="FFFFFF"/>
            <w:vAlign w:val="center"/>
          </w:tcPr>
          <w:p>
            <w:pPr>
              <w:overflowPunct w:val="0"/>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在保证产品原材料和生产工艺稳定可靠的基础上，采用在符合医疗器械质量管理体系相关要求的条件下生产的产品进行检验。有适用的国家标准品的，应当使用国家标准品对产品进行检验。</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①以申请人为主体出具的产品检验报告原件，产品检验报告名称应与申请表中一致；</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②申请人出具的自检报告需按《医疗器械注册自检管理规定》要求提交；</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③如为委托有资质的医疗器械检验机构出具的检验报告，还应当提供检验检测机构CMA资质证明。</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④在外省研制的产品来我省申请注册的，均应提交在湖南省内生产的产品注册检验报告。注册证生产地址为湖南省内注册人生产地址。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79"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CH3.5</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分析性能研究</w:t>
            </w:r>
          </w:p>
        </w:tc>
        <w:tc>
          <w:tcPr>
            <w:tcW w:w="769" w:type="dxa"/>
            <w:shd w:val="clear" w:color="auto" w:fill="FFFFFF"/>
            <w:vAlign w:val="center"/>
          </w:tcPr>
          <w:p>
            <w:pPr>
              <w:overflowPunct w:val="0"/>
              <w:jc w:val="center"/>
              <w:rPr>
                <w:color w:val="auto"/>
                <w:kern w:val="0"/>
                <w:sz w:val="22"/>
                <w:szCs w:val="22"/>
              </w:rPr>
            </w:pPr>
            <w:r>
              <w:rPr>
                <w:rFonts w:hint="eastAsia"/>
                <w:color w:val="auto"/>
                <w:kern w:val="0"/>
                <w:sz w:val="22"/>
                <w:szCs w:val="22"/>
              </w:rPr>
              <w:t>NR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39"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CH3.5.1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样本稳定性</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申请人应充分考虑实际使用过程中样本采集、处理、运输及保存等各个阶段的条件，对不同类型样本的稳定性分别进行评价并提交研究资料。内容包括建议的保存条件、添加剂(如抗凝剂)和运输条件(如涉及）等。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CH3.5.</w:t>
            </w:r>
            <w:r>
              <w:rPr>
                <w:rFonts w:hint="eastAsia"/>
                <w:b/>
                <w:bCs/>
                <w:color w:val="auto"/>
                <w:kern w:val="0"/>
                <w:sz w:val="22"/>
                <w:szCs w:val="22"/>
              </w:rPr>
              <w:t>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适用的样本类型</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申请人应对适用的样本类型及添加剂进行适用性确认。如果选择具有代表性的样本类型代替其他可比的样本类型进行分析性能评估，应说明原因并提供证据支持。</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应以列表形式说明各项分析性能评估中使用的样本类型及其来源。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CH3.5.</w:t>
            </w:r>
            <w:r>
              <w:rPr>
                <w:rFonts w:hint="eastAsia"/>
                <w:b/>
                <w:bCs/>
                <w:color w:val="auto"/>
                <w:kern w:val="0"/>
                <w:sz w:val="22"/>
                <w:szCs w:val="22"/>
              </w:rPr>
              <w:t>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color w:val="auto"/>
                <w:kern w:val="0"/>
                <w:sz w:val="22"/>
                <w:szCs w:val="22"/>
              </w:rPr>
              <w:t>总</w:t>
            </w:r>
            <w:r>
              <w:rPr>
                <w:rFonts w:hint="eastAsia"/>
                <w:color w:val="auto"/>
                <w:kern w:val="0"/>
                <w:sz w:val="22"/>
                <w:szCs w:val="22"/>
              </w:rPr>
              <w:t>校准品的量值溯源和质控品的赋值</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申请人应明确申报产品适用的校准品和质控品。</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如申报产品包括校准品，应当提交溯源资料。</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如申报产品包括质控品，应当提交在所有适用机型上进行赋值和验证的资料。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CH3.5.</w:t>
            </w:r>
            <w:r>
              <w:rPr>
                <w:rFonts w:hint="eastAsia"/>
                <w:b/>
                <w:bCs/>
                <w:color w:val="auto"/>
                <w:kern w:val="0"/>
                <w:sz w:val="22"/>
                <w:szCs w:val="22"/>
              </w:rPr>
              <w:t>4</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准确度</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①准确度/正确度</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申请人应评估准确度或正确度并提交研究资料。可采用方法学比对（与对比试剂、参考测量程序或诊断准确度标准比较）、参考物质检测或回收试验等方式。</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②精密度</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精密度包括重复性、中间精密度和再现性。应考虑运行、时间、操作者、仪器、试剂批次和地点等影响精密度的条件，设计合理的精密度试验方案进行评价。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CH3.5.</w:t>
            </w:r>
            <w:r>
              <w:rPr>
                <w:rFonts w:hint="eastAsia"/>
                <w:b/>
                <w:bCs/>
                <w:color w:val="auto"/>
                <w:kern w:val="0"/>
                <w:sz w:val="22"/>
                <w:szCs w:val="22"/>
              </w:rPr>
              <w:t>5</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包容性</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对于部分产品，如病原体检测试剂和部分人类基因检测试剂等，申请人应评估包容性并提交研究资料。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98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CH3.5.</w:t>
            </w:r>
            <w:r>
              <w:rPr>
                <w:rFonts w:hint="eastAsia"/>
                <w:b/>
                <w:bCs/>
                <w:color w:val="auto"/>
                <w:kern w:val="0"/>
                <w:sz w:val="22"/>
                <w:szCs w:val="22"/>
              </w:rPr>
              <w:t>6</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空白限、检出限及定量限</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申请人应评估空白限、检出限、定量限并提交研究资料。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478"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CH3.5.</w:t>
            </w:r>
            <w:r>
              <w:rPr>
                <w:rFonts w:hint="eastAsia"/>
                <w:b/>
                <w:bCs/>
                <w:color w:val="auto"/>
                <w:kern w:val="0"/>
                <w:sz w:val="22"/>
                <w:szCs w:val="22"/>
              </w:rPr>
              <w:t>7</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分析特异性</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申请人应评估干扰物质和交叉反应并提交研究资料。</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干扰物质研究应当考虑常见的内源性干扰、外源性干扰和已有报道的干扰物质等对产品检测结果的影响。</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交叉反应研究应当考虑分析物的结构类似物、具有同源性序列的核酸片段、易引起相同或相似的临床症状的其他病原体、采样部位正常寄生或易并发的其他微生物、已有报道的交叉物质、原材料生产引入的交叉物质等对产品检测结果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CH3.5.</w:t>
            </w:r>
            <w:r>
              <w:rPr>
                <w:rFonts w:hint="eastAsia"/>
                <w:b/>
                <w:bCs/>
                <w:color w:val="auto"/>
                <w:kern w:val="0"/>
                <w:sz w:val="22"/>
                <w:szCs w:val="22"/>
              </w:rPr>
              <w:t>8</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高剂量钩状效应</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对于特定方法学的产品，申请人应评估高剂量钩状效应并提交研究资料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CH3.5.</w:t>
            </w:r>
            <w:r>
              <w:rPr>
                <w:rFonts w:hint="eastAsia"/>
                <w:b/>
                <w:bCs/>
                <w:color w:val="auto"/>
                <w:kern w:val="0"/>
                <w:sz w:val="22"/>
                <w:szCs w:val="22"/>
              </w:rPr>
              <w:t>9</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测量区间及可报告区间</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对于定量检测试剂，申请人应评估申报产品的线性区间、测量区间及可报告区间并提交研究资料。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CH3.5.</w:t>
            </w:r>
            <w:r>
              <w:rPr>
                <w:rFonts w:hint="eastAsia"/>
                <w:b/>
                <w:bCs/>
                <w:color w:val="auto"/>
                <w:kern w:val="0"/>
                <w:sz w:val="22"/>
                <w:szCs w:val="22"/>
              </w:rPr>
              <w:t>10</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反应体系</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管理类别为第二类的产品注册申报时无需提交；由申请人保存，技术审评需要时应提交。</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反应体系研究资料包括样本的制备方式（采集和处理）、样本要求、样本用量、试剂用量、反应条件、校准方法（如有）、质控方法、结果判读方式等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CH3.5.</w:t>
            </w:r>
            <w:r>
              <w:rPr>
                <w:rFonts w:hint="eastAsia"/>
                <w:b/>
                <w:bCs/>
                <w:color w:val="auto"/>
                <w:kern w:val="0"/>
                <w:sz w:val="22"/>
                <w:szCs w:val="22"/>
              </w:rPr>
              <w:t>11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可用性</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评价预期使用者的行为、能力和局限性等因素对产品检测结果的影响，并提交研究资料。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CH3.6</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稳定性研究</w:t>
            </w:r>
          </w:p>
        </w:tc>
        <w:tc>
          <w:tcPr>
            <w:tcW w:w="769" w:type="dxa"/>
            <w:shd w:val="clear" w:color="auto" w:fill="FFFFFF"/>
            <w:vAlign w:val="center"/>
          </w:tcPr>
          <w:p>
            <w:pPr>
              <w:overflowPunct w:val="0"/>
              <w:jc w:val="center"/>
              <w:rPr>
                <w:color w:val="auto"/>
                <w:kern w:val="0"/>
                <w:sz w:val="22"/>
                <w:szCs w:val="22"/>
              </w:rPr>
            </w:pPr>
            <w:r>
              <w:rPr>
                <w:rFonts w:hint="eastAsia"/>
                <w:color w:val="auto"/>
                <w:kern w:val="0"/>
                <w:sz w:val="22"/>
                <w:szCs w:val="22"/>
              </w:rPr>
              <w:t>N</w:t>
            </w: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CH3.6.1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实时稳定性（货架有效期）</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提交至少三批申报产品在实际储存条件下保存至成品有效期后的实时稳定性研究资料。明确储存的环境条件（如温度、湿度和光照）及有效期。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685"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CH3.6.2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使用稳定性</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8"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CH3.6.</w:t>
            </w:r>
            <w:r>
              <w:rPr>
                <w:rFonts w:hint="eastAsia"/>
                <w:b/>
                <w:bCs/>
                <w:color w:val="auto"/>
                <w:kern w:val="0"/>
                <w:sz w:val="22"/>
                <w:szCs w:val="22"/>
              </w:rPr>
              <w:t>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运输稳定性</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提交申报产品可在特定或者预期的条件下运输的研究资料，应说明产品正确运输的环境条件（如温度、湿度、光照和机械保护等）。同时说明产品的包装方式以及暴露的最差运输条件。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CH3.7</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阳性判断值或参考区间研究</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申请人详细说明阳性判断值或参考区间确定的方法或依据，采用样本的来源与组成，并提交阳性判断值或参考区间确定的研究资料。</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校准品和质控品不需要提交阳性判断值或参考区间的确定资料提供其情况说明即可。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88"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CH3.8</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其他资料</w:t>
            </w:r>
          </w:p>
        </w:tc>
        <w:tc>
          <w:tcPr>
            <w:tcW w:w="769" w:type="dxa"/>
            <w:shd w:val="clear" w:color="auto" w:fill="FFFFFF"/>
            <w:vAlign w:val="center"/>
          </w:tcPr>
          <w:p>
            <w:pPr>
              <w:overflowPunct w:val="0"/>
              <w:jc w:val="center"/>
              <w:rPr>
                <w:color w:val="auto"/>
                <w:kern w:val="0"/>
                <w:sz w:val="22"/>
                <w:szCs w:val="22"/>
              </w:rPr>
            </w:pPr>
            <w:r>
              <w:rPr>
                <w:rFonts w:hint="eastAsia"/>
                <w:color w:val="auto"/>
                <w:kern w:val="0"/>
                <w:sz w:val="22"/>
                <w:szCs w:val="22"/>
              </w:rPr>
              <w:t>N</w:t>
            </w: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442"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CH3.8.1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主要原材料研究资料</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管理类别为第二类的产品注册申报时无需提交；由申请人保存，技术审评需要时应提交。</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主要原材料的研究资料包括主要原材料的来源、选择、制备方法的研究资料，质量分析证书，主要原材料质量标准的制定和检验资料。</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如适用，提交企业参考品的研究资料，包括来源、组成、阴阳性和/或量值确认等。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24"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CH3.8.</w:t>
            </w:r>
            <w:r>
              <w:rPr>
                <w:rFonts w:hint="eastAsia"/>
                <w:b/>
                <w:bCs/>
                <w:color w:val="auto"/>
                <w:kern w:val="0"/>
                <w:sz w:val="22"/>
                <w:szCs w:val="22"/>
              </w:rPr>
              <w:t>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生产工艺研究资料</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理类别为第二类的产品注册申报时无需提交；由申请人保存，技术审评需要时应提交。</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生产工艺的研究资料包括工作液的配制、分装和冻干,固相载体的包被，结合物的制备，显色/发光等结果放大系统的确定等。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24"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CH3.8.</w:t>
            </w:r>
            <w:r>
              <w:rPr>
                <w:rFonts w:hint="eastAsia"/>
                <w:b/>
                <w:bCs/>
                <w:color w:val="auto"/>
                <w:kern w:val="0"/>
                <w:sz w:val="22"/>
                <w:szCs w:val="22"/>
              </w:rPr>
              <w:t>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三批产品的生产及自检记录</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24"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CH3.8.</w:t>
            </w:r>
            <w:r>
              <w:rPr>
                <w:rFonts w:hint="eastAsia"/>
                <w:b/>
                <w:bCs/>
                <w:color w:val="auto"/>
                <w:kern w:val="0"/>
                <w:sz w:val="22"/>
                <w:szCs w:val="22"/>
              </w:rPr>
              <w:t>4</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证明产品安全性、有效性的非临床研究资料</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96" w:type="dxa"/>
            <w:gridSpan w:val="4"/>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color w:val="auto"/>
                <w:kern w:val="0"/>
                <w:sz w:val="22"/>
                <w:szCs w:val="22"/>
              </w:rPr>
            </w:pPr>
            <w:r>
              <w:rPr>
                <w:b/>
                <w:bCs/>
                <w:color w:val="auto"/>
                <w:kern w:val="0"/>
                <w:sz w:val="22"/>
                <w:szCs w:val="22"/>
              </w:rPr>
              <w:t>第4章——</w:t>
            </w:r>
            <w:r>
              <w:rPr>
                <w:rFonts w:hint="eastAsia"/>
                <w:b/>
                <w:bCs/>
                <w:color w:val="auto"/>
                <w:kern w:val="0"/>
                <w:sz w:val="22"/>
                <w:szCs w:val="22"/>
              </w:rPr>
              <w:t>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CH4.1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color w:val="auto"/>
                <w:kern w:val="0"/>
                <w:sz w:val="22"/>
                <w:szCs w:val="22"/>
              </w:rPr>
              <w:t>章节目录</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92"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CH4.2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临床评价资料</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申报材料以申请人为申报主体进行编制，申报资料内产品名称应与申请表中一致，如有资料不适用情形，需提交不适用情况说明。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106"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CH4.2.1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综述</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①简要总结支持产品注册申报的临床评价过程和数据，说明临床评价路径和关键内容，包括试验地点（如机构）、试验方法、受试者及样本、评价指标及可接受标准、试验结果、结论、资料位置等。</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②论证上述数据用于支持本次申报的理由及充分性。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2"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CH4.2.2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临床试验资料</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 xml:space="preserve">开展临床试验的，应提交临床试验方案、临床试验机构伦理委员会同意开展临床试验的书面意见、知情同意书样本、临床试验报告（附各机构临床试验小结，包括小结正文及临床试验数据表、临床试验中所采用的其他试验方法或其他体外诊断试剂等产品的基本信息等），并附临床试验数据库，包括原始数据库、分析数据库、说明性文件和程序代码（如有）。境外临床试验资料应符合要求。 </w:t>
            </w:r>
          </w:p>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临床试验相关资料签章应符合《医疗器械临床试验质量管理规范》的要求。临床试验报告主体应当是我省注册申请人。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256"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CH4.2.3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其他临床评价资料</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列入免于进行临床试验目录的体外诊断试剂，临床评价资料包括与“目录”对应项目的对比资料、临床评价报告（包括描述性比对分析和比对性能数据）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256"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rFonts w:hint="eastAsia" w:eastAsia="宋体"/>
                <w:b/>
                <w:bCs/>
                <w:color w:val="auto"/>
                <w:kern w:val="0"/>
                <w:sz w:val="22"/>
                <w:szCs w:val="22"/>
                <w:lang w:val="en-US" w:eastAsia="zh-CN"/>
              </w:rPr>
            </w:pPr>
            <w:r>
              <w:rPr>
                <w:b/>
                <w:bCs/>
                <w:color w:val="auto"/>
                <w:kern w:val="0"/>
                <w:sz w:val="22"/>
                <w:szCs w:val="22"/>
              </w:rPr>
              <w:t>CH4.</w:t>
            </w:r>
            <w:r>
              <w:rPr>
                <w:rFonts w:hint="eastAsia"/>
                <w:b/>
                <w:bCs/>
                <w:color w:val="auto"/>
                <w:kern w:val="0"/>
                <w:sz w:val="22"/>
                <w:szCs w:val="22"/>
                <w:lang w:val="en-US" w:eastAsia="zh-CN"/>
              </w:rPr>
              <w:t>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rFonts w:hint="eastAsia"/>
                <w:color w:val="auto"/>
                <w:kern w:val="0"/>
                <w:sz w:val="22"/>
                <w:szCs w:val="22"/>
              </w:rPr>
            </w:pPr>
            <w:r>
              <w:rPr>
                <w:rFonts w:hint="eastAsia"/>
                <w:color w:val="auto"/>
                <w:sz w:val="22"/>
                <w:szCs w:val="22"/>
              </w:rPr>
              <w:t>其他临床</w:t>
            </w:r>
            <w:r>
              <w:rPr>
                <w:rFonts w:hint="eastAsia"/>
                <w:color w:val="auto"/>
                <w:kern w:val="0"/>
                <w:sz w:val="22"/>
                <w:szCs w:val="22"/>
              </w:rPr>
              <w:t>资料</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rFonts w:hint="eastAsia" w:eastAsia="宋体"/>
                <w:color w:val="auto"/>
                <w:kern w:val="0"/>
                <w:sz w:val="22"/>
                <w:szCs w:val="22"/>
                <w:lang w:eastAsia="zh-CN"/>
              </w:rPr>
            </w:pPr>
            <w:r>
              <w:rPr>
                <w:rFonts w:hint="eastAsia"/>
                <w:color w:val="auto"/>
                <w:sz w:val="22"/>
              </w:rPr>
              <w:t>提交使用申报产品在境内、外完成的其他临床评价资料，包括临床评价的摘要、报告、数据和临床文献综述、经验数据等。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9696" w:type="dxa"/>
            <w:gridSpan w:val="4"/>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color w:val="auto"/>
                <w:kern w:val="0"/>
                <w:sz w:val="22"/>
                <w:szCs w:val="22"/>
              </w:rPr>
            </w:pPr>
            <w:r>
              <w:rPr>
                <w:b/>
                <w:bCs/>
                <w:color w:val="auto"/>
                <w:kern w:val="0"/>
                <w:sz w:val="22"/>
                <w:szCs w:val="22"/>
              </w:rPr>
              <w:t>第5章——</w:t>
            </w:r>
            <w:r>
              <w:rPr>
                <w:rFonts w:hint="eastAsia"/>
                <w:b/>
                <w:bCs/>
                <w:color w:val="auto"/>
                <w:kern w:val="0"/>
                <w:sz w:val="22"/>
                <w:szCs w:val="22"/>
              </w:rPr>
              <w:t>产品说明书和标签样稿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CH5.1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color w:val="auto"/>
                <w:kern w:val="0"/>
                <w:sz w:val="22"/>
                <w:szCs w:val="22"/>
              </w:rPr>
              <w:t>章节目录</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outlineLvl w:val="9"/>
              <w:rPr>
                <w:color w:val="auto"/>
                <w:kern w:val="0"/>
                <w:sz w:val="22"/>
                <w:szCs w:val="22"/>
              </w:rPr>
            </w:pPr>
            <w:r>
              <w:rPr>
                <w:rFonts w:hint="eastAsia"/>
                <w:color w:val="auto"/>
                <w:kern w:val="0"/>
                <w:sz w:val="22"/>
                <w:szCs w:val="22"/>
              </w:rPr>
              <w:t>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CH5.2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产品说明书</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outlineLvl w:val="9"/>
              <w:rPr>
                <w:color w:val="auto"/>
                <w:kern w:val="0"/>
                <w:sz w:val="22"/>
                <w:szCs w:val="22"/>
              </w:rPr>
            </w:pPr>
            <w:r>
              <w:rPr>
                <w:rFonts w:hint="eastAsia"/>
                <w:color w:val="auto"/>
                <w:kern w:val="0"/>
                <w:sz w:val="22"/>
                <w:szCs w:val="22"/>
              </w:rPr>
              <w:t>（1）说明书及说明书一致性声明，说明书名称应与申请表中产品名称一致，委托生产的应写明委托生产信息。</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outlineLvl w:val="9"/>
              <w:rPr>
                <w:color w:val="auto"/>
                <w:kern w:val="0"/>
                <w:sz w:val="22"/>
                <w:szCs w:val="22"/>
              </w:rPr>
            </w:pPr>
            <w:r>
              <w:rPr>
                <w:rFonts w:hint="eastAsia"/>
                <w:color w:val="auto"/>
                <w:kern w:val="0"/>
                <w:sz w:val="22"/>
                <w:szCs w:val="22"/>
              </w:rPr>
              <w:t>（2）提交产品说明书，内容应符合《体外诊断试剂说明书编写指导原则》和相关法规、规章、规范性文件、强制性标准的要求。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CH5.3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标签样稿</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outlineLvl w:val="9"/>
              <w:rPr>
                <w:color w:val="auto"/>
                <w:kern w:val="0"/>
                <w:sz w:val="22"/>
                <w:szCs w:val="22"/>
              </w:rPr>
            </w:pPr>
            <w:r>
              <w:rPr>
                <w:rFonts w:hint="eastAsia"/>
                <w:color w:val="auto"/>
                <w:kern w:val="0"/>
                <w:sz w:val="22"/>
                <w:szCs w:val="22"/>
              </w:rPr>
              <w:t>（1）标签样稿产品名称与申请表中产品名称一致，委托生产的应写明委托生产信息。</w:t>
            </w:r>
          </w:p>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outlineLvl w:val="9"/>
              <w:rPr>
                <w:color w:val="auto"/>
                <w:kern w:val="0"/>
                <w:sz w:val="22"/>
                <w:szCs w:val="22"/>
              </w:rPr>
            </w:pPr>
            <w:r>
              <w:rPr>
                <w:rFonts w:hint="eastAsia"/>
                <w:color w:val="auto"/>
                <w:kern w:val="0"/>
                <w:sz w:val="22"/>
                <w:szCs w:val="22"/>
              </w:rPr>
              <w:t>（2）提交最小销售单元标签样稿，内容应符合《医疗器械说明书和标签管理规定》和相关法规、规章、规范性文件、强制性标准的要求。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2"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CH5.4</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其他资料</w:t>
            </w:r>
          </w:p>
        </w:tc>
        <w:tc>
          <w:tcPr>
            <w:tcW w:w="769" w:type="dxa"/>
            <w:shd w:val="clear" w:color="auto" w:fill="FFFFFF"/>
            <w:vAlign w:val="center"/>
          </w:tcPr>
          <w:p>
            <w:pPr>
              <w:overflowPunct w:val="0"/>
              <w:jc w:val="center"/>
              <w:rPr>
                <w:color w:val="auto"/>
                <w:kern w:val="0"/>
                <w:sz w:val="22"/>
                <w:szCs w:val="22"/>
              </w:rPr>
            </w:pPr>
            <w:r>
              <w:rPr>
                <w:rFonts w:hint="eastAsia"/>
                <w:color w:val="auto"/>
                <w:kern w:val="0"/>
                <w:sz w:val="22"/>
                <w:szCs w:val="22"/>
              </w:rPr>
              <w:t>C</w:t>
            </w: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00" w:lineRule="exact"/>
              <w:jc w:val="left"/>
              <w:textAlignment w:val="auto"/>
              <w:outlineLvl w:val="9"/>
              <w:rPr>
                <w:color w:val="auto"/>
                <w:kern w:val="0"/>
                <w:sz w:val="22"/>
                <w:szCs w:val="22"/>
              </w:rPr>
            </w:pPr>
            <w:r>
              <w:rPr>
                <w:rFonts w:hint="eastAsia"/>
                <w:color w:val="auto"/>
                <w:kern w:val="0"/>
                <w:sz w:val="22"/>
                <w:szCs w:val="22"/>
              </w:rPr>
              <w:t>如适用，提交对产品信息进行补充说明的其他文件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9696" w:type="dxa"/>
            <w:gridSpan w:val="4"/>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color w:val="auto"/>
                <w:kern w:val="0"/>
                <w:sz w:val="22"/>
                <w:szCs w:val="22"/>
              </w:rPr>
            </w:pPr>
            <w:r>
              <w:rPr>
                <w:b/>
                <w:bCs/>
                <w:color w:val="auto"/>
                <w:kern w:val="0"/>
                <w:sz w:val="22"/>
                <w:szCs w:val="22"/>
              </w:rPr>
              <w:t>第6章——</w:t>
            </w:r>
            <w:r>
              <w:rPr>
                <w:rFonts w:hint="eastAsia"/>
                <w:b/>
                <w:bCs/>
                <w:color w:val="auto"/>
                <w:kern w:val="0"/>
                <w:sz w:val="22"/>
                <w:szCs w:val="22"/>
              </w:rPr>
              <w:t>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综述</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注册人应当承诺已按照相关法规要求建立相应的质量管理体系，随时接受质量管理体系核查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95"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章节目录</w:t>
            </w:r>
          </w:p>
        </w:tc>
        <w:tc>
          <w:tcPr>
            <w:tcW w:w="769" w:type="dxa"/>
            <w:shd w:val="clear" w:color="auto" w:fill="FFFFFF"/>
            <w:vAlign w:val="center"/>
          </w:tcPr>
          <w:p>
            <w:pPr>
              <w:jc w:val="center"/>
              <w:rPr>
                <w:color w:val="auto"/>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应当包括本章的所有标题和小标题，注明目录中各内容的页码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生产制造信息</w:t>
            </w:r>
          </w:p>
        </w:tc>
        <w:tc>
          <w:tcPr>
            <w:tcW w:w="769" w:type="dxa"/>
            <w:shd w:val="clear" w:color="auto" w:fill="FFFFFF"/>
            <w:vAlign w:val="center"/>
          </w:tcPr>
          <w:p>
            <w:pPr>
              <w:jc w:val="center"/>
              <w:rPr>
                <w:color w:val="auto"/>
                <w:sz w:val="22"/>
                <w:szCs w:val="22"/>
              </w:rPr>
            </w:pPr>
            <w:r>
              <w:rPr>
                <w:color w:val="auto"/>
                <w:kern w:val="0"/>
                <w:sz w:val="22"/>
                <w:szCs w:val="22"/>
              </w:rPr>
              <w:t>NR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CH6.3</w:t>
            </w:r>
            <w:r>
              <w:rPr>
                <w:rFonts w:hint="eastAsia"/>
                <w:b/>
                <w:bCs/>
                <w:color w:val="auto"/>
                <w:kern w:val="0"/>
                <w:sz w:val="22"/>
                <w:szCs w:val="22"/>
              </w:rPr>
              <w:t>.1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产品描述信息</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器械工作原理和总体生产工艺的简要说明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CH6.3</w:t>
            </w:r>
            <w:r>
              <w:rPr>
                <w:rFonts w:hint="eastAsia"/>
                <w:b/>
                <w:bCs/>
                <w:color w:val="auto"/>
                <w:kern w:val="0"/>
                <w:sz w:val="22"/>
                <w:szCs w:val="22"/>
              </w:rPr>
              <w:t>.2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一般生产信息</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提供生产器械或其部件的所有地址和联络信息。</w:t>
            </w:r>
          </w:p>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如适用，提供外包生产、重要组件或原材料的生产（如动物组织和药品）、关键工艺过程、灭菌情况的所有重要供应商名称和地址。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CH6.4</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质量管理体系程序</w:t>
            </w:r>
          </w:p>
        </w:tc>
        <w:tc>
          <w:tcPr>
            <w:tcW w:w="769" w:type="dxa"/>
            <w:shd w:val="clear" w:color="auto" w:fill="FFFFFF"/>
            <w:vAlign w:val="center"/>
          </w:tcPr>
          <w:p>
            <w:pPr>
              <w:jc w:val="center"/>
              <w:rPr>
                <w:color w:val="auto"/>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用于建立和维护质量管理体系的高层级质量管理体系程序，包括质量手册、质量方针、质量目标和文件及记录控制程序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CH6.5</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管理职责程序</w:t>
            </w:r>
          </w:p>
        </w:tc>
        <w:tc>
          <w:tcPr>
            <w:tcW w:w="769" w:type="dxa"/>
            <w:shd w:val="clear" w:color="auto" w:fill="FFFFFF"/>
            <w:vAlign w:val="center"/>
          </w:tcPr>
          <w:p>
            <w:pPr>
              <w:jc w:val="center"/>
              <w:rPr>
                <w:color w:val="auto"/>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用于通过阐述质量方针、策划、职责/权限/沟通和管理评审，对建立和维护质量管理体系形成管理保证文件的程序。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CH6.6</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资源管理程序</w:t>
            </w:r>
          </w:p>
        </w:tc>
        <w:tc>
          <w:tcPr>
            <w:tcW w:w="769" w:type="dxa"/>
            <w:shd w:val="clear" w:color="auto" w:fill="FFFFFF"/>
            <w:vAlign w:val="center"/>
          </w:tcPr>
          <w:p>
            <w:pPr>
              <w:overflowPunct w:val="0"/>
              <w:jc w:val="center"/>
              <w:rPr>
                <w:color w:val="auto"/>
                <w:kern w:val="0"/>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用于为实施和维护质量管理体系所形成足够资源（包括人力资源、基础设施和工作环境）供应文件的程序。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CH6.7</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产品实现程序</w:t>
            </w:r>
          </w:p>
        </w:tc>
        <w:tc>
          <w:tcPr>
            <w:tcW w:w="769" w:type="dxa"/>
            <w:shd w:val="clear" w:color="auto" w:fill="FFFFFF"/>
            <w:vAlign w:val="center"/>
          </w:tcPr>
          <w:p>
            <w:pPr>
              <w:jc w:val="center"/>
              <w:rPr>
                <w:color w:val="auto"/>
                <w:sz w:val="22"/>
                <w:szCs w:val="22"/>
              </w:rPr>
            </w:pPr>
            <w:r>
              <w:rPr>
                <w:rFonts w:hint="eastAsia"/>
                <w:color w:val="auto"/>
                <w:kern w:val="0"/>
                <w:sz w:val="22"/>
                <w:szCs w:val="22"/>
              </w:rPr>
              <w:t>N</w:t>
            </w: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CH6.7</w:t>
            </w:r>
            <w:r>
              <w:rPr>
                <w:rFonts w:hint="eastAsia"/>
                <w:b/>
                <w:bCs/>
                <w:color w:val="auto"/>
                <w:kern w:val="0"/>
                <w:sz w:val="22"/>
                <w:szCs w:val="22"/>
              </w:rPr>
              <w:t>.1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设计和开发程序</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用于形成从项目初始至设计转换的整个过程中关于产品设计的系统性和受控的开发过程文件的程序。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CH6.7</w:t>
            </w:r>
            <w:r>
              <w:rPr>
                <w:rFonts w:hint="eastAsia"/>
                <w:b/>
                <w:bCs/>
                <w:color w:val="auto"/>
                <w:kern w:val="0"/>
                <w:sz w:val="22"/>
                <w:szCs w:val="22"/>
              </w:rPr>
              <w:t>.2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采购程序</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用于形成符合已制定的质量和/或产品技术参数的采购产品/服务文件的程序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CH6.7</w:t>
            </w:r>
            <w:r>
              <w:rPr>
                <w:rFonts w:hint="eastAsia"/>
                <w:b/>
                <w:bCs/>
                <w:color w:val="auto"/>
                <w:kern w:val="0"/>
                <w:sz w:val="22"/>
                <w:szCs w:val="22"/>
              </w:rPr>
              <w:t>.3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生产和服务控制程序</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用于形成受控条件下生产和服务活动文件的程序，这些程序阐述诸如产品的清洁和污染的控制、安装和服务活动、过程确认、标识和可追溯性等问题。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CH6.7</w:t>
            </w:r>
            <w:r>
              <w:rPr>
                <w:rFonts w:hint="eastAsia"/>
                <w:b/>
                <w:bCs/>
                <w:color w:val="auto"/>
                <w:kern w:val="0"/>
                <w:sz w:val="22"/>
                <w:szCs w:val="22"/>
              </w:rPr>
              <w:t>.4</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监视和测量装置控制程序</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用于形成质量管理体系运行过程中所使用的监视和测量设备已受控并持续符合既定要求的文件的程序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CH6.8</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质量管理体系的测量、分析和改进程序</w:t>
            </w:r>
          </w:p>
        </w:tc>
        <w:tc>
          <w:tcPr>
            <w:tcW w:w="769" w:type="dxa"/>
            <w:shd w:val="clear" w:color="auto" w:fill="FFFFFF"/>
            <w:vAlign w:val="center"/>
          </w:tcPr>
          <w:p>
            <w:pPr>
              <w:jc w:val="center"/>
              <w:rPr>
                <w:color w:val="auto"/>
                <w:sz w:val="22"/>
                <w:szCs w:val="22"/>
              </w:rPr>
            </w:pPr>
            <w:r>
              <w:rPr>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用于形成如何监视、测量、分析和改进以确保产品和质量管理体系的符合性，并保持质量管理体系有效性的文件的程序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w:t>
            </w:r>
            <w:r>
              <w:rPr>
                <w:rFonts w:hint="eastAsia"/>
                <w:b/>
                <w:bCs/>
                <w:color w:val="auto"/>
                <w:kern w:val="0"/>
                <w:sz w:val="22"/>
                <w:szCs w:val="22"/>
              </w:rPr>
              <w:t>9</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其他质量体系程序信息</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不属于上述内容，但对此次申报较为重要的其他信息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w:t>
            </w:r>
            <w:r>
              <w:rPr>
                <w:rFonts w:hint="eastAsia"/>
                <w:b/>
                <w:bCs/>
                <w:color w:val="auto"/>
                <w:kern w:val="0"/>
                <w:sz w:val="22"/>
                <w:szCs w:val="22"/>
              </w:rPr>
              <w:t>10</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质量管理体系文件</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NR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w:t>
            </w:r>
            <w:r>
              <w:rPr>
                <w:rFonts w:hint="eastAsia"/>
                <w:b/>
                <w:bCs/>
                <w:color w:val="auto"/>
                <w:kern w:val="0"/>
                <w:sz w:val="22"/>
                <w:szCs w:val="22"/>
              </w:rPr>
              <w:t>10.1</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注册人基本情况表</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详细描述注册人的整体情况，一般以表格方式呈现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w:t>
            </w:r>
            <w:r>
              <w:rPr>
                <w:rFonts w:hint="eastAsia"/>
                <w:b/>
                <w:bCs/>
                <w:color w:val="auto"/>
                <w:kern w:val="0"/>
                <w:sz w:val="22"/>
                <w:szCs w:val="22"/>
              </w:rPr>
              <w:t>10.2</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注册人组织机构图</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w:t>
            </w:r>
            <w:r>
              <w:rPr>
                <w:rFonts w:hint="eastAsia"/>
                <w:b/>
                <w:bCs/>
                <w:color w:val="auto"/>
                <w:kern w:val="0"/>
                <w:sz w:val="22"/>
                <w:szCs w:val="22"/>
              </w:rPr>
              <w:t>10.3</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生产企业总平面布置图、生产区域分布图</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w:t>
            </w:r>
            <w:r>
              <w:rPr>
                <w:rFonts w:hint="eastAsia"/>
                <w:b/>
                <w:bCs/>
                <w:color w:val="auto"/>
                <w:kern w:val="0"/>
                <w:sz w:val="22"/>
                <w:szCs w:val="22"/>
              </w:rPr>
              <w:t>10.4</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环境检测报告</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如生产过程有净化要求的应当提供有资质的检测机构出具的环境检测报告（附平面布局图）复印件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w:t>
            </w:r>
            <w:r>
              <w:rPr>
                <w:rFonts w:hint="eastAsia"/>
                <w:b/>
                <w:bCs/>
                <w:color w:val="auto"/>
                <w:kern w:val="0"/>
                <w:sz w:val="22"/>
                <w:szCs w:val="22"/>
              </w:rPr>
              <w:t>10.5</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产品生产工艺流程图</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应当标明主要控制点与项目及主要原材料、采购件的来源及质量控制方法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w:t>
            </w:r>
            <w:r>
              <w:rPr>
                <w:rFonts w:hint="eastAsia"/>
                <w:b/>
                <w:bCs/>
                <w:color w:val="auto"/>
                <w:kern w:val="0"/>
                <w:sz w:val="22"/>
                <w:szCs w:val="22"/>
              </w:rPr>
              <w:t>10.6</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主要生产设备和检验设备目录</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主要生产设备和检验设备（包括进货检验、过程检验、出厂的最终检验相关设备；如需净化生产的，还应当提供环境监测设备）目录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w:t>
            </w:r>
            <w:r>
              <w:rPr>
                <w:rFonts w:hint="eastAsia"/>
                <w:b/>
                <w:bCs/>
                <w:color w:val="auto"/>
                <w:kern w:val="0"/>
                <w:sz w:val="22"/>
                <w:szCs w:val="22"/>
              </w:rPr>
              <w:t>10.7</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注册质量管理体系自查报告</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w:t>
            </w:r>
            <w:r>
              <w:rPr>
                <w:rFonts w:hint="eastAsia"/>
                <w:b/>
                <w:bCs/>
                <w:color w:val="auto"/>
                <w:kern w:val="0"/>
                <w:sz w:val="22"/>
                <w:szCs w:val="22"/>
              </w:rPr>
              <w:t>10.8</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与既往已通过核查产品的对比情况</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CR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spacing w:val="-6"/>
                <w:kern w:val="0"/>
                <w:sz w:val="22"/>
                <w:szCs w:val="22"/>
              </w:rPr>
              <w:t>本次申报注册产品与既往已通过核查产品的工作原理、预期用途、结构组成、生产条件、生产工艺对比情况，如本次申报注册产品与既往已获证且通过现场体系核查产品的工作原理、预期用途相同，结构组成、生产条件、生产工艺基本相同的，应当提供既往已获证产品注册证、说明书、产品技术要求、生产工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88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CH6.</w:t>
            </w:r>
            <w:r>
              <w:rPr>
                <w:rFonts w:hint="eastAsia"/>
                <w:b/>
                <w:bCs/>
                <w:color w:val="auto"/>
                <w:kern w:val="0"/>
                <w:sz w:val="22"/>
                <w:szCs w:val="22"/>
              </w:rPr>
              <w:t>10.9</w:t>
            </w:r>
          </w:p>
        </w:tc>
        <w:tc>
          <w:tcPr>
            <w:tcW w:w="1734"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申报产品符合现行国家标准、行业标准的清单</w:t>
            </w:r>
          </w:p>
        </w:tc>
        <w:tc>
          <w:tcPr>
            <w:tcW w:w="769" w:type="dxa"/>
            <w:shd w:val="clear" w:color="auto" w:fill="FFFFFF"/>
            <w:vAlign w:val="center"/>
          </w:tcPr>
          <w:p>
            <w:pPr>
              <w:jc w:val="center"/>
              <w:rPr>
                <w:color w:val="auto"/>
                <w:kern w:val="0"/>
                <w:sz w:val="22"/>
                <w:szCs w:val="22"/>
              </w:rPr>
            </w:pPr>
            <w:r>
              <w:rPr>
                <w:rFonts w:hint="eastAsia"/>
                <w:color w:val="auto"/>
                <w:kern w:val="0"/>
                <w:sz w:val="22"/>
                <w:szCs w:val="22"/>
              </w:rPr>
              <w:t>R</w:t>
            </w:r>
          </w:p>
        </w:tc>
        <w:tc>
          <w:tcPr>
            <w:tcW w:w="5305"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jc w:val="left"/>
              <w:textAlignment w:val="auto"/>
              <w:outlineLvl w:val="9"/>
              <w:rPr>
                <w:color w:val="auto"/>
                <w:kern w:val="0"/>
                <w:sz w:val="22"/>
                <w:szCs w:val="22"/>
              </w:rPr>
            </w:pPr>
          </w:p>
        </w:tc>
      </w:tr>
    </w:tbl>
    <w:p>
      <w:pPr>
        <w:widowControl/>
        <w:jc w:val="left"/>
        <w:rPr>
          <w:rFonts w:eastAsia="黑体"/>
          <w:bCs/>
          <w:color w:val="auto"/>
          <w:kern w:val="44"/>
          <w:sz w:val="32"/>
          <w:szCs w:val="44"/>
          <w:lang w:val="zh-CN"/>
        </w:rPr>
      </w:pPr>
      <w:r>
        <w:rPr>
          <w:color w:val="auto"/>
          <w:sz w:val="22"/>
          <w:szCs w:val="22"/>
        </w:rPr>
        <w:br w:type="page"/>
      </w:r>
      <w:r>
        <w:rPr>
          <w:rFonts w:hint="eastAsia" w:eastAsia="黑体"/>
          <w:bCs/>
          <w:color w:val="auto"/>
          <w:kern w:val="44"/>
          <w:sz w:val="32"/>
          <w:szCs w:val="44"/>
          <w:lang w:val="zh-CN"/>
        </w:rPr>
        <w:t>三</w:t>
      </w:r>
      <w:r>
        <w:rPr>
          <w:rFonts w:eastAsia="黑体"/>
          <w:bCs/>
          <w:color w:val="auto"/>
          <w:kern w:val="44"/>
          <w:sz w:val="32"/>
          <w:szCs w:val="44"/>
          <w:lang w:val="zh-CN"/>
        </w:rPr>
        <w:t>、</w:t>
      </w:r>
      <w:r>
        <w:rPr>
          <w:rFonts w:hint="eastAsia" w:eastAsia="黑体"/>
          <w:bCs/>
          <w:color w:val="auto"/>
          <w:kern w:val="44"/>
          <w:sz w:val="32"/>
          <w:szCs w:val="44"/>
          <w:lang w:val="zh-CN"/>
        </w:rPr>
        <w:t>湖南省</w:t>
      </w:r>
      <w:r>
        <w:rPr>
          <w:rFonts w:eastAsia="黑体"/>
          <w:bCs/>
          <w:color w:val="auto"/>
          <w:kern w:val="44"/>
          <w:sz w:val="32"/>
          <w:szCs w:val="44"/>
          <w:lang w:val="zh-CN"/>
        </w:rPr>
        <w:t>第二类医疗器械变更</w:t>
      </w:r>
      <w:r>
        <w:rPr>
          <w:rFonts w:hint="eastAsia" w:eastAsia="黑体"/>
          <w:bCs/>
          <w:color w:val="auto"/>
          <w:kern w:val="44"/>
          <w:sz w:val="32"/>
          <w:szCs w:val="44"/>
          <w:lang w:val="zh-CN"/>
        </w:rPr>
        <w:t>注册</w:t>
      </w:r>
      <w:r>
        <w:rPr>
          <w:rFonts w:eastAsia="黑体"/>
          <w:bCs/>
          <w:color w:val="auto"/>
          <w:kern w:val="44"/>
          <w:sz w:val="32"/>
          <w:szCs w:val="44"/>
          <w:lang w:val="zh-CN"/>
        </w:rPr>
        <w:t>申报资料电子目录</w:t>
      </w:r>
    </w:p>
    <w:tbl>
      <w:tblPr>
        <w:tblStyle w:val="11"/>
        <w:tblW w:w="9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78"/>
        <w:gridCol w:w="2302"/>
        <w:gridCol w:w="778"/>
        <w:gridCol w:w="5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85" w:hRule="atLeast"/>
          <w:tblHeader/>
          <w:jc w:val="center"/>
        </w:trPr>
        <w:tc>
          <w:tcPr>
            <w:tcW w:w="1178" w:type="dxa"/>
            <w:tcBorders>
              <w:top w:val="single" w:color="auto" w:sz="4" w:space="0"/>
            </w:tcBorders>
            <w:shd w:val="clear" w:color="auto" w:fill="FFFFFF"/>
            <w:vAlign w:val="center"/>
          </w:tcPr>
          <w:p>
            <w:pPr>
              <w:widowControl/>
              <w:jc w:val="center"/>
              <w:rPr>
                <w:rFonts w:eastAsia="黑体"/>
                <w:bCs/>
                <w:color w:val="auto"/>
                <w:kern w:val="0"/>
                <w:sz w:val="24"/>
              </w:rPr>
            </w:pPr>
            <w:r>
              <w:rPr>
                <w:rFonts w:eastAsia="黑体"/>
                <w:bCs/>
                <w:color w:val="auto"/>
                <w:kern w:val="0"/>
                <w:sz w:val="24"/>
              </w:rPr>
              <w:t>RPS目录</w:t>
            </w:r>
          </w:p>
        </w:tc>
        <w:tc>
          <w:tcPr>
            <w:tcW w:w="2302" w:type="dxa"/>
            <w:tcBorders>
              <w:top w:val="single" w:color="auto" w:sz="4" w:space="0"/>
            </w:tcBorders>
            <w:shd w:val="clear" w:color="auto" w:fill="FFFFFF"/>
            <w:vAlign w:val="center"/>
          </w:tcPr>
          <w:p>
            <w:pPr>
              <w:widowControl/>
              <w:jc w:val="center"/>
              <w:rPr>
                <w:rFonts w:eastAsia="黑体"/>
                <w:bCs/>
                <w:color w:val="auto"/>
                <w:kern w:val="0"/>
                <w:sz w:val="24"/>
              </w:rPr>
            </w:pPr>
            <w:r>
              <w:rPr>
                <w:rFonts w:eastAsia="黑体"/>
                <w:bCs/>
                <w:color w:val="auto"/>
                <w:kern w:val="0"/>
                <w:sz w:val="24"/>
              </w:rPr>
              <w:t>标题</w:t>
            </w:r>
          </w:p>
        </w:tc>
        <w:tc>
          <w:tcPr>
            <w:tcW w:w="778" w:type="dxa"/>
            <w:tcBorders>
              <w:top w:val="single" w:color="auto" w:sz="4" w:space="0"/>
            </w:tcBorders>
            <w:shd w:val="clear" w:color="auto" w:fill="FFFFFF"/>
            <w:vAlign w:val="center"/>
          </w:tcPr>
          <w:p>
            <w:pPr>
              <w:widowControl/>
              <w:jc w:val="center"/>
              <w:rPr>
                <w:rFonts w:eastAsia="黑体"/>
                <w:bCs/>
                <w:color w:val="auto"/>
                <w:kern w:val="0"/>
                <w:sz w:val="24"/>
              </w:rPr>
            </w:pPr>
            <w:r>
              <w:rPr>
                <w:rFonts w:eastAsia="黑体"/>
                <w:bCs/>
                <w:color w:val="auto"/>
                <w:kern w:val="0"/>
                <w:sz w:val="24"/>
              </w:rPr>
              <w:t>适用情况</w:t>
            </w:r>
          </w:p>
        </w:tc>
        <w:tc>
          <w:tcPr>
            <w:tcW w:w="5144" w:type="dxa"/>
            <w:tcBorders>
              <w:top w:val="single" w:color="auto" w:sz="4" w:space="0"/>
            </w:tcBorders>
            <w:shd w:val="clear" w:color="auto" w:fill="FFFFFF"/>
            <w:vAlign w:val="center"/>
          </w:tcPr>
          <w:p>
            <w:pPr>
              <w:widowControl/>
              <w:jc w:val="center"/>
              <w:rPr>
                <w:rFonts w:eastAsia="黑体"/>
                <w:bCs/>
                <w:color w:val="auto"/>
                <w:kern w:val="0"/>
                <w:sz w:val="24"/>
              </w:rPr>
            </w:pPr>
            <w:r>
              <w:rPr>
                <w:rFonts w:eastAsia="黑体"/>
                <w:bCs/>
                <w:color w:val="auto"/>
                <w:kern w:val="0"/>
                <w:sz w:val="24"/>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9402" w:type="dxa"/>
            <w:gridSpan w:val="4"/>
            <w:shd w:val="clear" w:color="auto" w:fill="FFFFFF"/>
            <w:vAlign w:val="center"/>
          </w:tcPr>
          <w:p>
            <w:pPr>
              <w:widowControl/>
              <w:jc w:val="center"/>
              <w:rPr>
                <w:color w:val="auto"/>
                <w:kern w:val="0"/>
                <w:sz w:val="24"/>
              </w:rPr>
            </w:pPr>
            <w:r>
              <w:rPr>
                <w:b/>
                <w:bCs/>
                <w:color w:val="auto"/>
                <w:kern w:val="0"/>
                <w:sz w:val="24"/>
              </w:rPr>
              <w:t>第1章——</w:t>
            </w:r>
            <w:r>
              <w:rPr>
                <w:rFonts w:hint="eastAsia"/>
                <w:b/>
                <w:bCs/>
                <w:color w:val="auto"/>
                <w:kern w:val="0"/>
                <w:sz w:val="24"/>
              </w:rPr>
              <w:t>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CH1.1</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章节目录</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应当包括本章的所有标题和小标题，注明目录中各内容的页码，一般以表格形式体现。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CH1.2</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申请表</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val="0"/>
              <w:kinsoku/>
              <w:wordWrap/>
              <w:overflowPunct/>
              <w:topLinePunct w:val="0"/>
              <w:autoSpaceDE/>
              <w:autoSpaceDN/>
              <w:bidi w:val="0"/>
              <w:adjustRightInd/>
              <w:snapToGrid/>
              <w:textAlignment w:val="auto"/>
              <w:outlineLvl w:val="9"/>
              <w:rPr>
                <w:color w:val="auto"/>
                <w:kern w:val="0"/>
                <w:sz w:val="22"/>
                <w:szCs w:val="22"/>
              </w:rPr>
            </w:pPr>
            <w:r>
              <w:rPr>
                <w:color w:val="auto"/>
                <w:sz w:val="22"/>
                <w:szCs w:val="22"/>
              </w:rPr>
              <w:t>在省药品监督管理局医疗器械注册电子申报子系统中填写并加盖电子印章</w:t>
            </w:r>
            <w:r>
              <w:rPr>
                <w:rFonts w:hint="eastAsia"/>
                <w:color w:val="auto"/>
                <w:sz w:val="22"/>
                <w:szCs w:val="22"/>
              </w:rPr>
              <w:t>；样表可在政务服务旗舰店办事指南查看。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CH1.3</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关联文件</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（1）企业《营业执照》或《事业单位法人证书》复印件。</w:t>
            </w:r>
          </w:p>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2）原医疗器械注册证、历次变更（备案）批件应有“湖南省药品监督管理局医疗器械注册专用章”，产品技术要求、历次变更注册的附件应有“湖南省药品监督管理局医疗器械注册专用章”及“湖南省药品审评与不良反应监测中心业务专用章”；提供的原医疗器械注册证（产品名称、注册号、注册人）应与申请表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CH1.4</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申报前与监管机构的联系情况和沟通记录</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C</w:t>
            </w: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1.在本次变更申请提交前，如注册人与监管机构针对申报产品以会议形式进行了沟通，应当提供下列内容（如适用）：</w:t>
            </w:r>
          </w:p>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（1）列出监管机构回复的沟通情况。</w:t>
            </w:r>
          </w:p>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（2）在沟通中，注册人明确提出的问题，及监管机构提供的建议。</w:t>
            </w:r>
          </w:p>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（3）说明在本次申报中如何解决上述问题。</w:t>
            </w:r>
          </w:p>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2.如不适用，应当明确声明申报产品没有既往申报和/或申报前沟通。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CH1.</w:t>
            </w:r>
            <w:r>
              <w:rPr>
                <w:rFonts w:hint="eastAsia"/>
                <w:b/>
                <w:bCs/>
                <w:color w:val="auto"/>
                <w:kern w:val="0"/>
                <w:sz w:val="22"/>
                <w:szCs w:val="22"/>
              </w:rPr>
              <w:t>5</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符合性声明</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注册人应当声明下列内容：</w:t>
            </w:r>
          </w:p>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1</w:t>
            </w:r>
            <w:r>
              <w:rPr>
                <w:rFonts w:hint="eastAsia"/>
                <w:color w:val="auto"/>
                <w:kern w:val="0"/>
                <w:sz w:val="22"/>
                <w:szCs w:val="22"/>
                <w:lang w:val="en-US" w:eastAsia="zh-CN"/>
              </w:rPr>
              <w:t>.</w:t>
            </w:r>
            <w:r>
              <w:rPr>
                <w:rFonts w:hint="eastAsia"/>
                <w:color w:val="auto"/>
                <w:kern w:val="0"/>
                <w:sz w:val="22"/>
                <w:szCs w:val="22"/>
              </w:rPr>
              <w:t>申报产品符合《医疗器械注册与备案管理办法》和相关法规的要求；</w:t>
            </w:r>
          </w:p>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lang w:val="en-US" w:eastAsia="zh-CN"/>
              </w:rPr>
              <w:t>2.</w:t>
            </w:r>
            <w:r>
              <w:rPr>
                <w:rFonts w:hint="eastAsia"/>
                <w:color w:val="auto"/>
                <w:kern w:val="0"/>
                <w:sz w:val="22"/>
                <w:szCs w:val="22"/>
              </w:rPr>
              <w:t>申报产品符合《医疗器械分类规则》有关分类的要求。</w:t>
            </w:r>
          </w:p>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lang w:val="en-US" w:eastAsia="zh-CN"/>
              </w:rPr>
              <w:t>3.</w:t>
            </w:r>
            <w:r>
              <w:rPr>
                <w:rFonts w:hint="eastAsia"/>
                <w:color w:val="auto"/>
                <w:kern w:val="0"/>
                <w:sz w:val="22"/>
                <w:szCs w:val="22"/>
              </w:rPr>
              <w:t>申报产品符合现行国家标准、行业标准，并提供符合标准的清单。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37" w:hRule="atLeast"/>
          <w:jc w:val="center"/>
        </w:trPr>
        <w:tc>
          <w:tcPr>
            <w:tcW w:w="9402"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第2章——</w:t>
            </w:r>
            <w:r>
              <w:rPr>
                <w:rFonts w:hint="eastAsia"/>
                <w:b/>
                <w:bCs/>
                <w:color w:val="auto"/>
                <w:kern w:val="0"/>
                <w:sz w:val="22"/>
                <w:szCs w:val="22"/>
              </w:rPr>
              <w:t>综述资料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CH2.1</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color w:val="auto"/>
                <w:kern w:val="0"/>
                <w:sz w:val="22"/>
                <w:szCs w:val="22"/>
              </w:rPr>
              <w:t>章节目录</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应当包括本章的所有标题和小标题，注明目录中各内容的页码</w:t>
            </w:r>
            <w:r>
              <w:rPr>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CH2.2</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概述</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详细描述本次变更情况、变更的具体原因及目的</w:t>
            </w:r>
            <w:r>
              <w:rPr>
                <w:color w:val="auto"/>
                <w:kern w:val="0"/>
                <w:sz w:val="22"/>
                <w:szCs w:val="22"/>
              </w:rPr>
              <w:t>。</w:t>
            </w:r>
            <w:r>
              <w:rPr>
                <w:rFonts w:hint="eastAsia"/>
                <w:color w:val="auto"/>
                <w:kern w:val="0"/>
                <w:sz w:val="22"/>
                <w:szCs w:val="22"/>
              </w:rPr>
              <w:t>此内容应包含所有变更情形。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CH2.3</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产品变更情况描述</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根据产品具体变更情况提供相应的说明及对比表，对比表一般以表格方式呈现，包括下列情形：</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1.产品名称变化。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2.产品技术要求变化。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3.型号、规格变化。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4.结构及组成变化。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5.产品适用范围变化。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6.注册证中“其他内容”变化。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7.其他变化。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2" w:hRule="atLeast"/>
          <w:jc w:val="center"/>
        </w:trPr>
        <w:tc>
          <w:tcPr>
            <w:tcW w:w="9402"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第3章——</w:t>
            </w:r>
            <w:r>
              <w:rPr>
                <w:rFonts w:hint="eastAsia"/>
                <w:b/>
                <w:bCs/>
                <w:color w:val="auto"/>
                <w:kern w:val="0"/>
                <w:sz w:val="22"/>
                <w:szCs w:val="22"/>
              </w:rPr>
              <w:t>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CH3.1</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color w:val="auto"/>
                <w:kern w:val="0"/>
                <w:sz w:val="22"/>
                <w:szCs w:val="22"/>
              </w:rPr>
              <w:t>章节目录</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应当包括本章的所有标题和小标题，注明目录中各内容的页码</w:t>
            </w:r>
            <w:r>
              <w:rPr>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598"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CH3.2</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产品风险管理资料</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产品风险管理资料是对产品的风险管理过程及其评审的结果予以记录所形成的资料。应当提供如下内容，并说明对于每项已判定危害的下列各个过程的可追溯性。</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1.风险分析：包括医疗器械适用范围和与安全性有关特征的识别、危害的识别、估计每个危害处境的风险。</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2.风险评价：对于每个已识别的危害处境，评价和决定是否需要降低风险，若需要，描述如何进行相应风险控制。</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3.风险控制：描述为降低风险所执行风险控制的相关内容。</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4.任何一个或多个剩余风险的可接受性评定。</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5.与产品受益相比，综合评价产品风险可接受。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58"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CH3.3</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产品技术要求及检验报告</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NR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如适用，应当提交下列资料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w:t>
            </w:r>
            <w:r>
              <w:rPr>
                <w:rFonts w:hint="eastAsia"/>
                <w:b/>
                <w:bCs/>
                <w:color w:val="auto"/>
                <w:kern w:val="0"/>
                <w:sz w:val="22"/>
                <w:szCs w:val="22"/>
              </w:rPr>
              <w:t>3</w:t>
            </w:r>
            <w:r>
              <w:rPr>
                <w:b/>
                <w:bCs/>
                <w:color w:val="auto"/>
                <w:kern w:val="0"/>
                <w:sz w:val="22"/>
                <w:szCs w:val="22"/>
              </w:rPr>
              <w:t>.1</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申报产品适用标准情况</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CR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申报产品应当符合适用的强制性标准。对于强制性行业标准，若申报产品结构特征、技术原理、预期用途、使用方式等与强制性标准的适用范围不一致，注册人应当提出不适用强制性标准的说明，并提供经验证的证明性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4"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w:t>
            </w:r>
            <w:r>
              <w:rPr>
                <w:rFonts w:hint="eastAsia"/>
                <w:b/>
                <w:bCs/>
                <w:color w:val="auto"/>
                <w:kern w:val="0"/>
                <w:sz w:val="22"/>
                <w:szCs w:val="22"/>
              </w:rPr>
              <w:t>3</w:t>
            </w:r>
            <w:r>
              <w:rPr>
                <w:b/>
                <w:bCs/>
                <w:color w:val="auto"/>
                <w:kern w:val="0"/>
                <w:sz w:val="22"/>
                <w:szCs w:val="22"/>
              </w:rPr>
              <w:t>.2</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产品技术要求</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CR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lang w:val="en-US" w:eastAsia="zh-CN"/>
              </w:rPr>
              <w:t>1.</w:t>
            </w:r>
            <w:r>
              <w:rPr>
                <w:rFonts w:hint="eastAsia"/>
                <w:color w:val="auto"/>
                <w:kern w:val="0"/>
                <w:sz w:val="22"/>
                <w:szCs w:val="22"/>
              </w:rPr>
              <w:t>由于强制性标准已经修订或者其他变化，涉及产品技术要求变化的，应当明确产品技术要求变化的具体内容提供相应变更情况的技术要求变更对比表。</w:t>
            </w:r>
          </w:p>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lang w:val="en-US" w:eastAsia="zh-CN"/>
              </w:rPr>
              <w:t>2.</w:t>
            </w:r>
            <w:r>
              <w:rPr>
                <w:rFonts w:hint="eastAsia"/>
                <w:color w:val="auto"/>
                <w:kern w:val="0"/>
                <w:sz w:val="22"/>
                <w:szCs w:val="22"/>
              </w:rPr>
              <w:t>在原医疗器械注册证有效期内产品技术要求发生变化的需提交两新的产品技术要求及产品技术要求一致性声明，产品技术要求名称与申请表中产品名称一致。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83"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w:t>
            </w:r>
            <w:r>
              <w:rPr>
                <w:rFonts w:hint="eastAsia"/>
                <w:b/>
                <w:bCs/>
                <w:color w:val="auto"/>
                <w:kern w:val="0"/>
                <w:sz w:val="22"/>
                <w:szCs w:val="22"/>
              </w:rPr>
              <w:t>3</w:t>
            </w:r>
            <w:r>
              <w:rPr>
                <w:b/>
                <w:bCs/>
                <w:color w:val="auto"/>
                <w:kern w:val="0"/>
                <w:sz w:val="22"/>
                <w:szCs w:val="22"/>
              </w:rPr>
              <w:t>.</w:t>
            </w:r>
            <w:r>
              <w:rPr>
                <w:rFonts w:hint="eastAsia"/>
                <w:b/>
                <w:bCs/>
                <w:color w:val="auto"/>
                <w:kern w:val="0"/>
                <w:sz w:val="22"/>
                <w:szCs w:val="22"/>
              </w:rPr>
              <w:t>3</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产品检验报告</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CR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可提交以下任一形式的针对产品技术要求变化部分的检验报告：</w:t>
            </w:r>
          </w:p>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①以申请人为主体出具的产品检验报告原件或检验报告电子版加盖企业公章，产品检验报告名称与申请表中一致；</w:t>
            </w:r>
          </w:p>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②申请人出具的自检报告需按《医疗器械注册自检管理规定》要求提交；</w:t>
            </w:r>
          </w:p>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③如为委托有资质的医疗器械检验机构出具的检验报告，还应当提供检验检测机构CMA资质证明。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764"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w:t>
            </w:r>
            <w:r>
              <w:rPr>
                <w:rFonts w:hint="eastAsia"/>
                <w:b/>
                <w:bCs/>
                <w:color w:val="auto"/>
                <w:kern w:val="0"/>
                <w:sz w:val="22"/>
                <w:szCs w:val="22"/>
              </w:rPr>
              <w:t>4</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研究资料</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1.分析并说明变化部分对产品安全性、有效性的影响。</w:t>
            </w:r>
          </w:p>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2.根据变化情况，提供非临床研究综述，逐项描述所开展的研究，概述研究方法和研究结论。根据非临床研究综述，提供相应的研究资料，各项研究资料一般应当包含研究方案、研究报告。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9"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CH3.5</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其他资料</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CR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免于进行临床评价的第二类医疗器械，如发生前文所述的变化，有可能影响产品安全、有效及申报产品与《免于进行临床评价医疗器械目录》所述产品等同性论证的，申请人应当按照《列入免于进行临床评价医疗器械目录产品对比说明技术指导原则》，从基本原理、结构组成、性能、安全性、适用范围等方面，证明产品的安全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82" w:hRule="atLeast"/>
          <w:jc w:val="center"/>
        </w:trPr>
        <w:tc>
          <w:tcPr>
            <w:tcW w:w="9402"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第4章——</w:t>
            </w:r>
            <w:r>
              <w:rPr>
                <w:rFonts w:hint="eastAsia"/>
                <w:b/>
                <w:bCs/>
                <w:color w:val="auto"/>
                <w:kern w:val="0"/>
                <w:sz w:val="22"/>
                <w:szCs w:val="22"/>
              </w:rPr>
              <w:t>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704"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CH4.1</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color w:val="auto"/>
                <w:kern w:val="0"/>
                <w:sz w:val="22"/>
                <w:szCs w:val="22"/>
              </w:rPr>
              <w:t>章节目录</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应当包括本章的所有标题和小标题，注明目录中各内容的页码</w:t>
            </w:r>
            <w:r>
              <w:rPr>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17"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CH4.2</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临床评价资料</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N</w:t>
            </w: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373"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CH4.2.1</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产品描述和研发背景</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包括申报产品基本信息、适用范围、现有的诊断或治疗方法及涉及医疗器械的临床应用情况、申报产品与现有诊断或治疗方法的关系、预期达到的临床疗效等</w:t>
            </w:r>
            <w:r>
              <w:rPr>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CH4.2.2</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明确临床评价涵盖的范围</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CR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明确临床评价涵盖的范围，申报产品中如有可免于进行临床评价的部分，描述其结构组成并说明免于进行临床评价的理由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166"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CH4.2.3</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临床评价路径</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根据申报产品的适用范围、技术特征、已有临床数据等具体情况，选择恰当的临床评价路径，包括同品种临床评价路径和/或临床试验路径。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CH4.2.</w:t>
            </w:r>
            <w:r>
              <w:rPr>
                <w:rFonts w:hint="eastAsia"/>
                <w:b/>
                <w:bCs/>
                <w:color w:val="auto"/>
                <w:kern w:val="0"/>
                <w:sz w:val="22"/>
                <w:szCs w:val="22"/>
              </w:rPr>
              <w:t>4</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通过同品种临床评价路径提交申报产品的对比资料</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CR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color w:val="auto"/>
                <w:kern w:val="0"/>
                <w:sz w:val="22"/>
                <w:szCs w:val="22"/>
              </w:rPr>
            </w:pPr>
            <w:r>
              <w:rPr>
                <w:rFonts w:hint="eastAsia"/>
                <w:color w:val="auto"/>
                <w:kern w:val="0"/>
                <w:sz w:val="22"/>
                <w:szCs w:val="22"/>
              </w:rPr>
              <w:t>若通过同品种临床评价路径进行临床评价，应当提交申报产品与同品种医疗器械在适用范围、技术特征、生物学特性方面的对比资料；应当对同品种医疗器械的临床数据进行收集、评估和分析，形成临床证据。如适用，应当描述申报产品与同品种医疗器械的差异，提交充分的科学证据证明二者具有相同的安全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CH4.2.</w:t>
            </w:r>
            <w:r>
              <w:rPr>
                <w:rFonts w:hint="eastAsia"/>
                <w:b/>
                <w:bCs/>
                <w:color w:val="auto"/>
                <w:kern w:val="0"/>
                <w:sz w:val="22"/>
                <w:szCs w:val="22"/>
              </w:rPr>
              <w:t>5</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通过临床试验路径提交临床试验方案、书面意见、临床试验报告等资料</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CR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color w:val="auto"/>
                <w:kern w:val="0"/>
                <w:sz w:val="22"/>
                <w:szCs w:val="22"/>
              </w:rPr>
            </w:pPr>
            <w:r>
              <w:rPr>
                <w:rFonts w:hint="eastAsia"/>
                <w:color w:val="auto"/>
                <w:kern w:val="0"/>
                <w:sz w:val="22"/>
                <w:szCs w:val="22"/>
              </w:rPr>
              <w:t>若通过临床试验路径进行临床评价，应当提交临床试验方案、临床试验机构伦理委员会同意开展临床试验的书面意见、临床试验报告、知情同意书样本，并附临床试验数据库（原始数据库、分析数据库、说明性文件和程序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47"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CH4.3</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其他资料</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CR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color w:val="auto"/>
                <w:kern w:val="0"/>
                <w:sz w:val="22"/>
                <w:szCs w:val="22"/>
              </w:rPr>
            </w:pPr>
            <w:r>
              <w:rPr>
                <w:rFonts w:hint="eastAsia"/>
                <w:color w:val="auto"/>
                <w:spacing w:val="-6"/>
                <w:kern w:val="0"/>
                <w:sz w:val="22"/>
                <w:szCs w:val="22"/>
              </w:rPr>
              <w:t>如适用，提供相应项目评价资料的摘要、报告和数据。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9402"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第5章——</w:t>
            </w:r>
            <w:r>
              <w:rPr>
                <w:rFonts w:hint="eastAsia"/>
                <w:b/>
                <w:bCs/>
                <w:color w:val="auto"/>
                <w:kern w:val="0"/>
                <w:sz w:val="22"/>
                <w:szCs w:val="22"/>
              </w:rPr>
              <w:t>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CH5.1</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color w:val="auto"/>
                <w:kern w:val="0"/>
                <w:sz w:val="22"/>
                <w:szCs w:val="22"/>
              </w:rPr>
              <w:t>章节目录</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color w:val="auto"/>
                <w:kern w:val="0"/>
                <w:sz w:val="22"/>
                <w:szCs w:val="22"/>
              </w:rPr>
            </w:pPr>
            <w:r>
              <w:rPr>
                <w:rFonts w:hint="eastAsia"/>
                <w:color w:val="auto"/>
                <w:kern w:val="0"/>
                <w:sz w:val="22"/>
                <w:szCs w:val="22"/>
              </w:rPr>
              <w:t>应当包括本章的所有标题和小标题，注明目录中各内容的页码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CH5.2</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产品说明书</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CR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如适用，应当以对比表形式详细说明变更内容，并提交变更前的说明书以及变更后的产品说明书，产品说明书内容应当符合《医疗器械说明书和标签管理规定》和相关法规、规章、规范性文件、强制性标准的要求。</w:t>
            </w:r>
          </w:p>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如不适用，提供不适用情况说明。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CH5.3</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其他资料</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CR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9402"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第</w:t>
            </w:r>
            <w:r>
              <w:rPr>
                <w:rFonts w:hint="eastAsia"/>
                <w:b/>
                <w:bCs/>
                <w:color w:val="auto"/>
                <w:kern w:val="0"/>
                <w:sz w:val="22"/>
                <w:szCs w:val="22"/>
              </w:rPr>
              <w:t>6</w:t>
            </w:r>
            <w:r>
              <w:rPr>
                <w:b/>
                <w:bCs/>
                <w:color w:val="auto"/>
                <w:kern w:val="0"/>
                <w:sz w:val="22"/>
                <w:szCs w:val="22"/>
              </w:rPr>
              <w:t>章——</w:t>
            </w:r>
            <w:r>
              <w:rPr>
                <w:rFonts w:hint="eastAsia"/>
                <w:b/>
                <w:bCs/>
                <w:color w:val="auto"/>
                <w:kern w:val="0"/>
                <w:sz w:val="22"/>
                <w:szCs w:val="22"/>
              </w:rPr>
              <w:t>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.1</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综述</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注册人应当承诺已按照相关法规要求，根据产品变更的具体情形对质量管理体系进行相应调整，随时接受质量管理体系核查。详述涉及产品变更项目的质量管理体系变化情况，并按照下列要求逐项提交适用项目的资料，不适用应当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.2</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章节目录</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应当包括本章的所有标题和小标题，注明目录中各内容的页码。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.3</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生产制造信息</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N</w:t>
            </w:r>
            <w:r>
              <w:rPr>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.3</w:t>
            </w:r>
            <w:r>
              <w:rPr>
                <w:rFonts w:hint="eastAsia"/>
                <w:b/>
                <w:bCs/>
                <w:color w:val="auto"/>
                <w:kern w:val="0"/>
                <w:sz w:val="22"/>
                <w:szCs w:val="22"/>
              </w:rPr>
              <w:t>.1</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产品描述信息</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器械工作原理和总体生产工艺的简要说明。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.3</w:t>
            </w:r>
            <w:r>
              <w:rPr>
                <w:rFonts w:hint="eastAsia"/>
                <w:b/>
                <w:bCs/>
                <w:color w:val="auto"/>
                <w:kern w:val="0"/>
                <w:sz w:val="22"/>
                <w:szCs w:val="22"/>
              </w:rPr>
              <w:t>.2</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一般生产信息</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提供生产器械或其部件的所有地址和联络信息。</w:t>
            </w:r>
          </w:p>
          <w:p>
            <w:pPr>
              <w:keepNext w:val="0"/>
              <w:keepLines w:val="0"/>
              <w:pageBreakBefore w:val="0"/>
              <w:widowControl/>
              <w:kinsoku/>
              <w:wordWrap/>
              <w:overflowPunct/>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如适用，提供外包生产、重要组件或原材料的生产（如动物组织和药品）、关键工艺过程、灭菌等情况的所有重要供应商名称和地址。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4</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质量管理体系程序</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outlineLvl w:val="9"/>
              <w:rPr>
                <w:color w:val="auto"/>
                <w:kern w:val="0"/>
                <w:sz w:val="22"/>
                <w:szCs w:val="22"/>
              </w:rPr>
            </w:pPr>
            <w:r>
              <w:rPr>
                <w:rFonts w:hint="eastAsia"/>
                <w:color w:val="auto"/>
                <w:kern w:val="0"/>
                <w:sz w:val="22"/>
                <w:szCs w:val="22"/>
              </w:rPr>
              <w:t>用于建立和维护质量管理体系的高层级质量管理体系程序，包括质量手册、质量方针、质量目标和文件及记录控制程序。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5</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管理职责程序</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用于通过阐述质量方针、策划、职责/权限/沟通和管理评审，对建立和维护质量管理体系形成管理保证文件的程序。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6</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资源管理程序</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用于为实施和维护质量管理体系所形成足够资源（包括人力资源、基础设施和工作环境）供应文件的程序。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7</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产品实现程序</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NR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7.1</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设计和开发程序</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用于形成从项目初始至设计转换的整个过程中关于产品设计的系统性和受控的开发过程文件的程序。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7.2</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采购程序</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用于形成符合已制定的质量和/或产品技术参数的采购产品/服务文件的程序。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7.3</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生产和服务控制程序</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用于形成受控条件下生产和服务活动文件的程序，这些程序阐述诸如产品的清洁和污染的控制、安装和服务活动、过程确认、标识和可追溯性等问题。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7.4</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监视和测量装置控制程序</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用于形成质量管理体系运行过程中所使用的监视和测量设备已受控并持续符合既定要求的文件的程序。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8</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质量管理体系的测量、分析和改进程序</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用于形成如何监视、测量、分析和改进以确保产品和质量管理体系的符合性，并保持质量管理体系有效性的文件的程序。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9</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其他质量体系程序信息</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CR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不属于上述内容，但对此次申报较为重要的其他信息。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质量管理体系文件</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NR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10.1</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注册人基本情况表</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详细描述注册人的整体情况，一般以表格方式呈现。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10.2</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注册人组织机构图</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10.3</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生产企业总平面布置图、生产区域分布图</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10.4</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环境检测报告</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如生产过程有净化要求的应当提供有资质的检测机构出具的环境检测报告（附平面布局图）复印件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10.5</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产品生产工艺流程图</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产品生产工艺流程图，应当标明主要控制点与项目及主要原材料、采购件的来源及质量控制方法。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10.6</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主要生产设备和检验设备目录</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主要生产设备和检验设备（包括进货检验、过程检验、出厂的最终检验相关设备；如需净化生产的，还应当提供环境监测设备）目录。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10.7</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注册质量管理体系自查报告</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10.8</w:t>
            </w:r>
          </w:p>
        </w:tc>
        <w:tc>
          <w:tcPr>
            <w:tcW w:w="2302"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拟核查产品与既往已通过核查产品的对比说明</w:t>
            </w:r>
          </w:p>
        </w:tc>
        <w:tc>
          <w:tcPr>
            <w:tcW w:w="778" w:type="dxa"/>
            <w:shd w:val="clear" w:color="auto" w:fill="FFFFFF"/>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color w:val="auto"/>
                <w:kern w:val="0"/>
                <w:sz w:val="22"/>
                <w:szCs w:val="22"/>
              </w:rPr>
            </w:pPr>
            <w:r>
              <w:rPr>
                <w:rFonts w:hint="eastAsia"/>
                <w:color w:val="auto"/>
                <w:kern w:val="0"/>
                <w:sz w:val="22"/>
                <w:szCs w:val="22"/>
              </w:rPr>
              <w:t>CR</w:t>
            </w:r>
          </w:p>
        </w:tc>
        <w:tc>
          <w:tcPr>
            <w:tcW w:w="5144" w:type="dxa"/>
            <w:shd w:val="clear" w:color="auto" w:fill="FFFFFF"/>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color w:val="auto"/>
                <w:kern w:val="0"/>
                <w:sz w:val="22"/>
                <w:szCs w:val="22"/>
              </w:rPr>
            </w:pPr>
            <w:r>
              <w:rPr>
                <w:rFonts w:hint="eastAsia"/>
                <w:color w:val="auto"/>
                <w:kern w:val="0"/>
                <w:sz w:val="22"/>
                <w:szCs w:val="22"/>
              </w:rPr>
              <w:t>如适用，应当提供拟核查产品与既往已通过核查产品在生产条件、生产工艺等方面的对比说明。</w:t>
            </w:r>
          </w:p>
        </w:tc>
      </w:tr>
    </w:tbl>
    <w:p>
      <w:pPr>
        <w:rPr>
          <w:color w:val="auto"/>
        </w:rPr>
      </w:pPr>
      <w:r>
        <w:rPr>
          <w:rFonts w:hint="eastAsia"/>
          <w:b/>
          <w:color w:val="auto"/>
          <w:sz w:val="28"/>
          <w:szCs w:val="28"/>
        </w:rPr>
        <w:t>说明：R----必传      NR----不必传      CR----选传</w:t>
      </w:r>
    </w:p>
    <w:p>
      <w:pPr>
        <w:widowControl/>
        <w:jc w:val="left"/>
        <w:rPr>
          <w:rFonts w:eastAsia="黑体"/>
          <w:bCs/>
          <w:color w:val="auto"/>
          <w:kern w:val="44"/>
          <w:sz w:val="32"/>
          <w:szCs w:val="44"/>
          <w:lang w:val="zh-CN"/>
        </w:rPr>
      </w:pPr>
      <w:r>
        <w:rPr>
          <w:color w:val="auto"/>
        </w:rPr>
        <w:br w:type="page"/>
      </w:r>
      <w:r>
        <w:rPr>
          <w:rFonts w:hint="eastAsia" w:eastAsia="黑体"/>
          <w:bCs/>
          <w:color w:val="auto"/>
          <w:kern w:val="44"/>
          <w:sz w:val="32"/>
          <w:szCs w:val="44"/>
          <w:lang w:val="zh-CN"/>
        </w:rPr>
        <w:t>四</w:t>
      </w:r>
      <w:r>
        <w:rPr>
          <w:rFonts w:eastAsia="黑体"/>
          <w:bCs/>
          <w:color w:val="auto"/>
          <w:kern w:val="44"/>
          <w:sz w:val="32"/>
          <w:szCs w:val="44"/>
          <w:lang w:val="zh-CN"/>
        </w:rPr>
        <w:t>、</w:t>
      </w:r>
      <w:r>
        <w:rPr>
          <w:rFonts w:hint="eastAsia" w:eastAsia="黑体"/>
          <w:bCs/>
          <w:color w:val="auto"/>
          <w:kern w:val="44"/>
          <w:sz w:val="32"/>
          <w:szCs w:val="44"/>
          <w:lang w:val="zh-CN"/>
        </w:rPr>
        <w:t>湖南省第二类</w:t>
      </w:r>
      <w:r>
        <w:rPr>
          <w:rFonts w:eastAsia="黑体"/>
          <w:bCs/>
          <w:color w:val="auto"/>
          <w:kern w:val="44"/>
          <w:sz w:val="32"/>
          <w:szCs w:val="44"/>
          <w:lang w:val="zh-CN"/>
        </w:rPr>
        <w:t>体外诊断试剂变更</w:t>
      </w:r>
      <w:r>
        <w:rPr>
          <w:rFonts w:hint="eastAsia" w:eastAsia="黑体"/>
          <w:bCs/>
          <w:color w:val="auto"/>
          <w:kern w:val="44"/>
          <w:sz w:val="32"/>
          <w:szCs w:val="44"/>
          <w:lang w:val="zh-CN"/>
        </w:rPr>
        <w:t>注册</w:t>
      </w:r>
      <w:r>
        <w:rPr>
          <w:rFonts w:eastAsia="黑体"/>
          <w:bCs/>
          <w:color w:val="auto"/>
          <w:kern w:val="44"/>
          <w:sz w:val="32"/>
          <w:szCs w:val="44"/>
          <w:lang w:val="zh-CN"/>
        </w:rPr>
        <w:t>申报资料电子目录</w:t>
      </w:r>
    </w:p>
    <w:tbl>
      <w:tblPr>
        <w:tblStyle w:val="11"/>
        <w:tblW w:w="9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84"/>
        <w:gridCol w:w="2099"/>
        <w:gridCol w:w="753"/>
        <w:gridCol w:w="5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37" w:hRule="atLeast"/>
          <w:tblHeader/>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eastAsia="黑体"/>
                <w:bCs/>
                <w:color w:val="auto"/>
                <w:kern w:val="0"/>
                <w:sz w:val="22"/>
                <w:szCs w:val="22"/>
              </w:rPr>
            </w:pPr>
            <w:r>
              <w:rPr>
                <w:rFonts w:eastAsia="黑体"/>
                <w:bCs/>
                <w:color w:val="auto"/>
                <w:kern w:val="0"/>
                <w:sz w:val="22"/>
                <w:szCs w:val="22"/>
              </w:rPr>
              <w:t>RPS目录</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eastAsia="黑体"/>
                <w:bCs/>
                <w:color w:val="auto"/>
                <w:kern w:val="0"/>
                <w:sz w:val="22"/>
                <w:szCs w:val="22"/>
              </w:rPr>
            </w:pPr>
            <w:r>
              <w:rPr>
                <w:rFonts w:eastAsia="黑体"/>
                <w:bCs/>
                <w:color w:val="auto"/>
                <w:kern w:val="0"/>
                <w:sz w:val="22"/>
                <w:szCs w:val="22"/>
              </w:rPr>
              <w:t>标题</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eastAsia="黑体"/>
                <w:bCs/>
                <w:color w:val="auto"/>
                <w:kern w:val="0"/>
                <w:sz w:val="22"/>
                <w:szCs w:val="22"/>
              </w:rPr>
            </w:pPr>
            <w:r>
              <w:rPr>
                <w:rFonts w:eastAsia="黑体"/>
                <w:bCs/>
                <w:color w:val="auto"/>
                <w:kern w:val="0"/>
                <w:sz w:val="22"/>
                <w:szCs w:val="22"/>
              </w:rPr>
              <w:t>适用情况</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eastAsia="黑体"/>
                <w:bCs/>
                <w:color w:val="auto"/>
                <w:kern w:val="0"/>
                <w:sz w:val="22"/>
                <w:szCs w:val="22"/>
              </w:rPr>
            </w:pPr>
            <w:r>
              <w:rPr>
                <w:rFonts w:eastAsia="黑体"/>
                <w:bCs/>
                <w:color w:val="auto"/>
                <w:kern w:val="0"/>
                <w:sz w:val="22"/>
                <w:szCs w:val="22"/>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00" w:hRule="atLeast"/>
          <w:jc w:val="center"/>
        </w:trPr>
        <w:tc>
          <w:tcPr>
            <w:tcW w:w="9488"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b/>
                <w:bCs/>
                <w:color w:val="auto"/>
                <w:kern w:val="0"/>
                <w:sz w:val="22"/>
                <w:szCs w:val="22"/>
              </w:rPr>
              <w:t>第1章——</w:t>
            </w:r>
            <w:r>
              <w:rPr>
                <w:rFonts w:hint="eastAsia"/>
                <w:b/>
                <w:bCs/>
                <w:color w:val="auto"/>
                <w:kern w:val="0"/>
                <w:sz w:val="22"/>
                <w:szCs w:val="22"/>
              </w:rPr>
              <w:t>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CH1.1</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章节目录</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应当包括本章的所有标题和小标题，注明目录中各内容的页码。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CH1.2</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申请表</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R</w:t>
            </w:r>
          </w:p>
        </w:tc>
        <w:tc>
          <w:tcPr>
            <w:tcW w:w="5452" w:type="dxa"/>
            <w:shd w:val="clear" w:color="auto" w:fill="FFFFFF"/>
            <w:vAlign w:val="center"/>
          </w:tcPr>
          <w:p>
            <w:pPr>
              <w:keepNext w:val="0"/>
              <w:keepLines w:val="0"/>
              <w:pageBreakBefore w:val="0"/>
              <w:widowControl w:val="0"/>
              <w:kinsoku/>
              <w:wordWrap/>
              <w:overflowPunct/>
              <w:topLinePunct w:val="0"/>
              <w:autoSpaceDE/>
              <w:autoSpaceDN/>
              <w:bidi w:val="0"/>
              <w:adjustRightInd/>
              <w:snapToGrid/>
              <w:textAlignment w:val="auto"/>
              <w:outlineLvl w:val="9"/>
              <w:rPr>
                <w:color w:val="auto"/>
                <w:kern w:val="0"/>
                <w:sz w:val="22"/>
                <w:szCs w:val="22"/>
              </w:rPr>
            </w:pPr>
            <w:r>
              <w:rPr>
                <w:color w:val="auto"/>
                <w:sz w:val="22"/>
                <w:szCs w:val="22"/>
              </w:rPr>
              <w:t>在省药品监督管理局医疗器械注册电子申报子系统中填写并加盖电子印章</w:t>
            </w:r>
            <w:r>
              <w:rPr>
                <w:rFonts w:hint="eastAsia"/>
                <w:color w:val="auto"/>
                <w:sz w:val="22"/>
                <w:szCs w:val="22"/>
              </w:rPr>
              <w:t>；样表可在政务服务旗舰店办事指南查看。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CH1.3</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关联文件</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sz w:val="22"/>
                <w:szCs w:val="22"/>
              </w:rPr>
            </w:pPr>
            <w:r>
              <w:rPr>
                <w:rFonts w:hint="eastAsia"/>
                <w:color w:val="auto"/>
                <w:sz w:val="22"/>
                <w:szCs w:val="22"/>
              </w:rPr>
              <w:t>1.企业营业执照副本或事业单位法人证书复印件。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sz w:val="22"/>
                <w:szCs w:val="22"/>
              </w:rPr>
            </w:pPr>
            <w:r>
              <w:rPr>
                <w:rFonts w:hint="eastAsia"/>
                <w:color w:val="auto"/>
                <w:kern w:val="0"/>
                <w:sz w:val="22"/>
                <w:szCs w:val="22"/>
              </w:rPr>
              <w:t>2.原医疗器械注册证、历次变更（备案）批件应有“湖南省药品监督管理局医疗器械注册专用章”，产品技术要求、说明书、历次变更注册的附件应有“湖南省药品监督管理局医疗器械注册专用章”及“湖南省药品审评与不良反应监测中心业务专用章”；提供的原医疗器械注册证（产品名称、注册号、注册人）应与申请表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978"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CH1.4</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申报前与监管机构的联系情况和沟通记录</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C</w:t>
            </w:r>
            <w:r>
              <w:rPr>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1.在本次变更申请提交前，如注册人与监管机构针对申报产品以会议形式进行了沟通，应当提供下列内容（如适用）：</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（1）列出监管机构回复的沟通情况。</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（2）在沟通中，注册人明确提出的问题，及监管机构提供的建议。</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（3）说明在本次申报中如何解决上述问题。</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sz w:val="22"/>
                <w:szCs w:val="22"/>
              </w:rPr>
            </w:pPr>
            <w:r>
              <w:rPr>
                <w:rFonts w:hint="eastAsia"/>
                <w:color w:val="auto"/>
                <w:kern w:val="0"/>
                <w:sz w:val="22"/>
                <w:szCs w:val="22"/>
              </w:rPr>
              <w:t>2.如不适用，应当明确声明申报产品没有既往申报和/或申报前沟通。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561"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CH1.5</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符合性声明</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R</w:t>
            </w:r>
          </w:p>
        </w:tc>
        <w:tc>
          <w:tcPr>
            <w:tcW w:w="5452"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注册人应当声明下列内容：</w:t>
            </w: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（1）申报产品符合《体外诊断试剂注册与备案管理办法》和相关法规的要求。</w:t>
            </w: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（2）申报产品符合《体外诊断试剂分类规则》、《体外诊断试剂分类子目录》有关分类的要求。</w:t>
            </w: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（3）申报产品符合现行国家标准、行业标准，并提供符合标准的清单。</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sz w:val="22"/>
                <w:szCs w:val="22"/>
              </w:rPr>
            </w:pPr>
            <w:r>
              <w:rPr>
                <w:rFonts w:hint="eastAsia"/>
                <w:color w:val="auto"/>
                <w:kern w:val="0"/>
                <w:sz w:val="22"/>
                <w:szCs w:val="22"/>
              </w:rPr>
              <w:t>（4）申报产品符合国家标准品的清单。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92" w:hRule="atLeast"/>
          <w:jc w:val="center"/>
        </w:trPr>
        <w:tc>
          <w:tcPr>
            <w:tcW w:w="9488"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第2章——</w:t>
            </w:r>
            <w:r>
              <w:rPr>
                <w:rFonts w:hint="eastAsia"/>
                <w:b/>
                <w:bCs/>
                <w:color w:val="auto"/>
                <w:kern w:val="0"/>
                <w:sz w:val="22"/>
                <w:szCs w:val="22"/>
              </w:rPr>
              <w:t>综述资料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24"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CH2.1</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color w:val="auto"/>
                <w:kern w:val="0"/>
                <w:sz w:val="22"/>
                <w:szCs w:val="22"/>
              </w:rPr>
              <w:t>章节目录</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sz w:val="22"/>
                <w:szCs w:val="22"/>
              </w:rPr>
            </w:pPr>
            <w:r>
              <w:rPr>
                <w:rFonts w:hint="eastAsia"/>
                <w:color w:val="auto"/>
                <w:kern w:val="0"/>
                <w:sz w:val="22"/>
                <w:szCs w:val="22"/>
              </w:rPr>
              <w:t>应当包括本章的所有标题和小标题，注明目录中各内容的页码。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CH2.2</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color w:val="auto"/>
                <w:kern w:val="0"/>
                <w:sz w:val="22"/>
                <w:szCs w:val="22"/>
              </w:rPr>
              <w:t>概述</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sz w:val="22"/>
                <w:szCs w:val="22"/>
              </w:rPr>
            </w:pPr>
            <w:r>
              <w:rPr>
                <w:rFonts w:hint="eastAsia"/>
                <w:color w:val="auto"/>
                <w:sz w:val="22"/>
                <w:szCs w:val="22"/>
              </w:rPr>
              <w:t>详细描述本次变更情况、变更的具体原因及目的</w:t>
            </w:r>
            <w:r>
              <w:rPr>
                <w:rFonts w:hint="eastAsia"/>
                <w:color w:val="auto"/>
                <w:kern w:val="0"/>
                <w:sz w:val="22"/>
                <w:szCs w:val="22"/>
              </w:rPr>
              <w:t>，此内容应包含所有变更情形。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CH2.3</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产品变更情况描述</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 xml:space="preserve">根据产品具体变更情况提供相应的说明及对比表，对比表一般以表格方式呈现，包括下列情形： </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1.产品名称变化。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2.包装规格变化。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3.产品储存条件及有效期变化。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4.适用仪器变化。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5.阳性判断值或参考区间变化。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6.产品技术要求、说明书变化。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7.适用的样本类型变化。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8.适用人群变化。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9.临床适应证变化。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10.其他可能改变产品安全有效性的变化。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091"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CH2.4</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变更对产品安全性、有效性影响的技术分析</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R</w:t>
            </w:r>
          </w:p>
        </w:tc>
        <w:tc>
          <w:tcPr>
            <w:tcW w:w="5452"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sz w:val="22"/>
                <w:szCs w:val="22"/>
              </w:rPr>
            </w:pPr>
            <w:r>
              <w:rPr>
                <w:rFonts w:hint="eastAsia"/>
                <w:color w:val="auto"/>
                <w:sz w:val="22"/>
                <w:szCs w:val="22"/>
              </w:rPr>
              <w:t>1.分析变更对产品安全性、有效性可能产生的影响。</w:t>
            </w: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sz w:val="22"/>
                <w:szCs w:val="22"/>
              </w:rPr>
            </w:pPr>
            <w:r>
              <w:rPr>
                <w:rFonts w:hint="eastAsia"/>
                <w:color w:val="auto"/>
                <w:sz w:val="22"/>
                <w:szCs w:val="22"/>
              </w:rPr>
              <w:t>注册人应根据变更的性质，在进行风险分析的基础上，采用科学合理的方法进行产品变更的设计验证和/或确认，评估变更对于产品分析性能和/或临床性能的影响。</w:t>
            </w: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sz w:val="22"/>
                <w:szCs w:val="22"/>
              </w:rPr>
            </w:pPr>
            <w:r>
              <w:rPr>
                <w:rFonts w:hint="eastAsia"/>
                <w:color w:val="auto"/>
                <w:sz w:val="22"/>
                <w:szCs w:val="22"/>
              </w:rPr>
              <w:t>对于与产品配合使用的其他产品发生变更的情形（例如提取试剂，样本保存液等），注册人应评估变更对包括产品在内的检测系统安全有效性的影响。</w:t>
            </w: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sz w:val="22"/>
                <w:szCs w:val="22"/>
              </w:rPr>
            </w:pPr>
            <w:r>
              <w:rPr>
                <w:rFonts w:hint="eastAsia"/>
                <w:color w:val="auto"/>
                <w:sz w:val="22"/>
                <w:szCs w:val="22"/>
              </w:rPr>
              <w:t xml:space="preserve">2.变更对产品安全性、有效性影响的研究方法（非临床研究和/或临床评价）的选择依据、验收标准。 </w:t>
            </w: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sz w:val="22"/>
                <w:szCs w:val="22"/>
              </w:rPr>
            </w:pPr>
            <w:r>
              <w:rPr>
                <w:rFonts w:hint="eastAsia"/>
                <w:color w:val="auto"/>
                <w:sz w:val="22"/>
                <w:szCs w:val="22"/>
              </w:rPr>
              <w:t>3.结果的总结以及结论。</w:t>
            </w: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sz w:val="22"/>
                <w:szCs w:val="22"/>
              </w:rPr>
            </w:pPr>
            <w:r>
              <w:rPr>
                <w:rFonts w:hint="eastAsia"/>
                <w:color w:val="auto"/>
                <w:sz w:val="22"/>
                <w:szCs w:val="22"/>
              </w:rPr>
              <w:t>4.论证上述证据用于支持本次变更注册的理由及充分性。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52" w:hRule="atLeast"/>
          <w:jc w:val="center"/>
        </w:trPr>
        <w:tc>
          <w:tcPr>
            <w:tcW w:w="9488"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第3章——</w:t>
            </w:r>
            <w:r>
              <w:rPr>
                <w:rFonts w:hint="eastAsia"/>
                <w:b/>
                <w:bCs/>
                <w:color w:val="auto"/>
                <w:kern w:val="0"/>
                <w:sz w:val="22"/>
                <w:szCs w:val="22"/>
              </w:rPr>
              <w:t>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67"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CH3.1</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color w:val="auto"/>
                <w:kern w:val="0"/>
                <w:sz w:val="22"/>
                <w:szCs w:val="22"/>
              </w:rPr>
              <w:t>章节目录</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应包括本章的所有标题和小标题，注明目录中各内容的页码。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CH3.2</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产品风险管理资料</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应当提交与产品变化相关的产品风险管理资料。</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1.风险分析：包括体外诊断试剂预期用途和与安全性有关特征的识别、危害的识别、估计每个危害处境的风险。</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2.风险评价：对于每个已识别的危害处境，评价和决定是否需要降低风险，若需要，描述如何进行相应风险控制。</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3.风险控制：描述为降低风险所执行风险控制的相关内容。</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4.任何一个或多个剩余风险的可接受性评定。</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5.与产品受益相比，综合评价产品风险可接受。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CH3.3</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产品技术要求及检验报告</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NR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CH3.3</w:t>
            </w:r>
            <w:r>
              <w:rPr>
                <w:rFonts w:hint="eastAsia"/>
                <w:b/>
                <w:bCs/>
                <w:color w:val="auto"/>
                <w:kern w:val="0"/>
                <w:sz w:val="22"/>
                <w:szCs w:val="22"/>
              </w:rPr>
              <w:t>.1</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申报产品适用标准情况</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申报产品应当符合适用的强制性标准。对于强制性行业标准，若申报产品结构特征、技术原理、预期用途、使用方式等与强制性标准的适用范围不一致，注册人应当提出不适用强制性标准的说明，并提供经验证的证明性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3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CH3.3</w:t>
            </w:r>
            <w:r>
              <w:rPr>
                <w:rFonts w:hint="eastAsia"/>
                <w:b/>
                <w:bCs/>
                <w:color w:val="auto"/>
                <w:kern w:val="0"/>
                <w:sz w:val="22"/>
                <w:szCs w:val="22"/>
              </w:rPr>
              <w:t>.2</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产品技术要求</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lang w:val="en-US" w:eastAsia="zh-CN"/>
              </w:rPr>
              <w:t>1.</w:t>
            </w:r>
            <w:r>
              <w:rPr>
                <w:rFonts w:hint="eastAsia"/>
                <w:color w:val="auto"/>
                <w:kern w:val="0"/>
                <w:sz w:val="22"/>
                <w:szCs w:val="22"/>
              </w:rPr>
              <w:t>由于强制性标准已经修订或者其他变化，涉及产品技术要求变化的，应当明确产品技术要求变化的具体内容提供相应变更情况的技术要求变更对比表。</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lang w:val="en-US" w:eastAsia="zh-CN"/>
              </w:rPr>
              <w:t>2.</w:t>
            </w:r>
            <w:r>
              <w:rPr>
                <w:rFonts w:hint="eastAsia"/>
                <w:color w:val="auto"/>
                <w:kern w:val="0"/>
                <w:sz w:val="22"/>
                <w:szCs w:val="22"/>
              </w:rPr>
              <w:t>在原医疗器械注册证有效期内产品技术要求发生变化的需提交新的产品技术要求及产品技术要求一致性声明，产品技术要求名称与申请表中产品名称一致。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3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CH3.3</w:t>
            </w:r>
            <w:r>
              <w:rPr>
                <w:rFonts w:hint="eastAsia"/>
                <w:b/>
                <w:bCs/>
                <w:color w:val="auto"/>
                <w:kern w:val="0"/>
                <w:sz w:val="22"/>
                <w:szCs w:val="22"/>
              </w:rPr>
              <w:t>.3</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产品检验报告</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可提交以下任一形式的针对产品技术要求变化部分的检验报告：</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①以申请人为主体出具的产品检验报告原件或检验报告电子版加盖企业公章，产品检验报告名称应与申请表中一致；</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②申请人出具的自检报告需按《医疗器械注册自检管理规定》要求提交；</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③如为委托有资质的医疗器械检验机构出具的检验报告，还应当提供检验检测机构CMA资质证明。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CH3.4</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分析性能研究</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CR</w:t>
            </w:r>
          </w:p>
        </w:tc>
        <w:tc>
          <w:tcPr>
            <w:tcW w:w="5452"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sz w:val="22"/>
                <w:szCs w:val="22"/>
              </w:rPr>
            </w:pPr>
            <w:r>
              <w:rPr>
                <w:rFonts w:hint="eastAsia"/>
                <w:color w:val="auto"/>
                <w:sz w:val="22"/>
                <w:szCs w:val="22"/>
              </w:rPr>
              <w:t>如适用，注册人应根据具体变更情况，在风险管理和技术分析的基础上，基于变更对产品安全性、有效性的影响，采用适当的方法进行分析性能评估并提交研究资料，应当包含研究方案、报告和数据。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358"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CH3.</w:t>
            </w:r>
            <w:r>
              <w:rPr>
                <w:rFonts w:hint="eastAsia"/>
                <w:b/>
                <w:bCs/>
                <w:color w:val="auto"/>
                <w:kern w:val="0"/>
                <w:sz w:val="22"/>
                <w:szCs w:val="22"/>
              </w:rPr>
              <w:t>5</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稳定性研究</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CR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如适用，注册人应根据具体变更情况，在风险管理和技术分析的基础上，基于变更对产品安全性、有效性的影响，采用适当的方法进行稳定性研究并提交研究资料，应当包含研究方案、报告和数据。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358"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CH3.</w:t>
            </w:r>
            <w:r>
              <w:rPr>
                <w:rFonts w:hint="eastAsia"/>
                <w:b/>
                <w:bCs/>
                <w:color w:val="auto"/>
                <w:kern w:val="0"/>
                <w:sz w:val="22"/>
                <w:szCs w:val="22"/>
              </w:rPr>
              <w:t>6</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阳性判断值或参考区间研究</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CR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如适用，注册人应根据具体变更情况，在风险管理和技术分析的基础上，基于变更对产品安全性、有效性的影响，采用适当的方法进行阳性判断值或参考区间研究并提交研究资料，应当包含研究方案、报告和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08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CH3.</w:t>
            </w:r>
            <w:r>
              <w:rPr>
                <w:rFonts w:hint="eastAsia"/>
                <w:b/>
                <w:bCs/>
                <w:color w:val="auto"/>
                <w:kern w:val="0"/>
                <w:sz w:val="22"/>
                <w:szCs w:val="22"/>
              </w:rPr>
              <w:t>7</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其他资料</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C</w:t>
            </w:r>
            <w:r>
              <w:rPr>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如适用，注册人应根据具体变更情况，在风险管理和技术分析的基础上，基于变更对产品安全性、有效性的影响，采用适当的方法进行相应的研究并提交研究资料，如原材料、生产工艺、反应体系等变更的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27" w:hRule="atLeast"/>
          <w:jc w:val="center"/>
        </w:trPr>
        <w:tc>
          <w:tcPr>
            <w:tcW w:w="9488"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第4章——</w:t>
            </w:r>
            <w:r>
              <w:rPr>
                <w:rFonts w:hint="eastAsia"/>
                <w:b/>
                <w:bCs/>
                <w:color w:val="auto"/>
                <w:kern w:val="0"/>
                <w:sz w:val="22"/>
                <w:szCs w:val="22"/>
              </w:rPr>
              <w:t>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8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CH4.1</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color w:val="auto"/>
                <w:kern w:val="0"/>
                <w:sz w:val="22"/>
                <w:szCs w:val="22"/>
              </w:rPr>
              <w:t>章节目录</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R</w:t>
            </w:r>
          </w:p>
        </w:tc>
        <w:tc>
          <w:tcPr>
            <w:tcW w:w="5452"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应当包括本章的所有标题和小标题，注明目录中各内容的页码。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8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CH4.2</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临床评价资料要求</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N</w:t>
            </w:r>
            <w:r>
              <w:rPr>
                <w:color w:val="auto"/>
                <w:kern w:val="0"/>
                <w:sz w:val="22"/>
                <w:szCs w:val="22"/>
              </w:rPr>
              <w:t>R</w:t>
            </w:r>
          </w:p>
        </w:tc>
        <w:tc>
          <w:tcPr>
            <w:tcW w:w="5452"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82"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CH4.2.1</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综述</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C</w:t>
            </w:r>
            <w:r>
              <w:rPr>
                <w:color w:val="auto"/>
                <w:kern w:val="0"/>
                <w:sz w:val="22"/>
                <w:szCs w:val="22"/>
              </w:rPr>
              <w:t>R</w:t>
            </w:r>
          </w:p>
        </w:tc>
        <w:tc>
          <w:tcPr>
            <w:tcW w:w="5452"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lang w:val="en-US" w:eastAsia="zh-CN"/>
              </w:rPr>
              <w:t>1.</w:t>
            </w:r>
            <w:r>
              <w:rPr>
                <w:rFonts w:hint="eastAsia"/>
                <w:color w:val="auto"/>
                <w:kern w:val="0"/>
                <w:sz w:val="22"/>
                <w:szCs w:val="22"/>
              </w:rPr>
              <w:t>简要总结支持产品注册申报的临床评价过程和数据，说明临床评价路径和关键内容，包括试验地点（如机构）、试验方法、受试者及样本、评价指标及可接受标准、试验结果、结论、资料位置等。</w:t>
            </w: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lang w:val="en-US" w:eastAsia="zh-CN"/>
              </w:rPr>
              <w:t>2.</w:t>
            </w:r>
            <w:r>
              <w:rPr>
                <w:rFonts w:hint="eastAsia"/>
                <w:color w:val="auto"/>
                <w:kern w:val="0"/>
                <w:sz w:val="22"/>
                <w:szCs w:val="22"/>
              </w:rPr>
              <w:t>论证上述临床数据用于支持本次申报的理由及充分性。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819"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CH4.2.2</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临床评价资料</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C</w:t>
            </w:r>
            <w:r>
              <w:rPr>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依据产品变化对产品临床性能的影响及变更后产品的风险分析，变更后产品通过临床前研究不能确认其安全有效的，提交临床评价资料。下列变更情况原则上应当提交临床评价资料：</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（1）适用的样本类型变化。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（2）适用人群变化。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（3）临床适应证变化。</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（4）其他显著影响产品临床性能的变化。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CH4.2.3</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临床试验资料</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CR</w:t>
            </w:r>
          </w:p>
        </w:tc>
        <w:tc>
          <w:tcPr>
            <w:tcW w:w="5452"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开展临床试验的，应提交临床试验方案、临床试验机构伦理委员会同意开展临床试验的书面意见、知情同意书样本、临床试验报告（附各机构临床试验小结，包括小结正文及临床试验数据表、临床试验中所采用的其他试验方法或其他体外诊断试剂等产品的基本信息等），并附临床试验数据库，包括原始数据库、分析数据库、说明性文件和程序代码（如有）。境外临床试验资料应符合要求。</w:t>
            </w: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临床试验相关资料签章应符合《医疗器械临床试验质量管理规范》的要求。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CH4.2.</w:t>
            </w:r>
            <w:r>
              <w:rPr>
                <w:rFonts w:hint="eastAsia"/>
                <w:b/>
                <w:bCs/>
                <w:color w:val="auto"/>
                <w:kern w:val="0"/>
                <w:sz w:val="22"/>
                <w:szCs w:val="22"/>
              </w:rPr>
              <w:t>4</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其他临床评价资料</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CR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列入免于进行临床试验目录的体外诊断试剂，临床评价资料包括与“目录”对应项目的对比资料、临床评价报告（包括描述性比对分析和比对性能数据）等。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7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CH4.2.</w:t>
            </w:r>
            <w:r>
              <w:rPr>
                <w:rFonts w:hint="eastAsia"/>
                <w:b/>
                <w:bCs/>
                <w:color w:val="auto"/>
                <w:kern w:val="0"/>
                <w:sz w:val="22"/>
                <w:szCs w:val="22"/>
              </w:rPr>
              <w:t>5</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其他资料</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CR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提交使用申报产品在境内、外完成的其他临床评价资料，包括临床评价的摘要、报告、数据和临床文献综述、经验数据等。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488"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第5章——</w:t>
            </w:r>
            <w:r>
              <w:rPr>
                <w:rFonts w:hint="eastAsia"/>
                <w:b/>
                <w:bCs/>
                <w:color w:val="auto"/>
                <w:kern w:val="0"/>
                <w:sz w:val="22"/>
                <w:szCs w:val="22"/>
              </w:rPr>
              <w:t>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CH5.1</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color w:val="auto"/>
                <w:kern w:val="0"/>
                <w:sz w:val="22"/>
                <w:szCs w:val="22"/>
              </w:rPr>
              <w:t>章节目录</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R</w:t>
            </w:r>
          </w:p>
        </w:tc>
        <w:tc>
          <w:tcPr>
            <w:tcW w:w="5452"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应当包括本章的所有标题和小标题，注明目录中各内容的页码。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CH5.2</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产品说明书</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1）如适用，应以变更对比表形式详细说明变更内容，并提交变更前、后的产品中文说明书及说明书一致性声明；变更后说明书提供内容应符合《体外诊断试剂说明书编写指导原则》和相关法规、规章、规范性文件、强制性标准的要求。</w:t>
            </w:r>
          </w:p>
          <w:p>
            <w:pPr>
              <w:keepNext w:val="0"/>
              <w:keepLines w:val="0"/>
              <w:pageBreakBefore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（2）如不适用，提供不适用情况说明。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9488" w:type="dxa"/>
            <w:gridSpan w:val="4"/>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b/>
                <w:bCs/>
                <w:color w:val="auto"/>
                <w:kern w:val="0"/>
                <w:sz w:val="22"/>
                <w:szCs w:val="22"/>
              </w:rPr>
              <w:t>第6章——</w:t>
            </w:r>
            <w:r>
              <w:rPr>
                <w:rFonts w:hint="eastAsia"/>
                <w:b/>
                <w:bCs/>
                <w:color w:val="auto"/>
                <w:kern w:val="0"/>
                <w:sz w:val="22"/>
                <w:szCs w:val="22"/>
              </w:rPr>
              <w:t>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.1</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综述</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注册人应当承诺已按照相关法规要求，根据产品变更的具体情形对质量管理体系进行相应调整，随时接受质量管理体系核查。详述涉及产品变更项目的质量管理体系变化情况，并按照下列要求逐项提交适用项目的资料，不适用应当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2</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章节目录</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应当包括本章的所有标题和小标题，注明目录中各内容的页码。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3</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生产制造信息</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NR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3.1</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产品描述信息</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申报产品技术原理和总体生产工艺的简要说明。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3.2</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一般生产信息</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提供申报产品及其组分的所有生产地址和联络信息。</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如适用，提供所有重要供应商名称和地址，包括外包生产、关键成分或原材料的生产（如抗原、抗体）和灭菌等。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4</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质量管理体系程序</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用于建立和维护质量管理体系的高层级质量管理体系程序，包括质量手册、质量方针、质量目标和文件及记录控制程序。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5</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管理职责程序</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用于通过阐述质量方针、策划、职责/权限/沟通和管理评审，对建立和维护质量管理体系形成管理保证文件的程序。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6</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资源管理程序</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用于为实施和维护质量管理体系所形成足够资源（包括人力资源、基础设施和工作环境）供应文件的程序。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7</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产品实现程序</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NR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7.1</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设计和开发程序</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用于形成从项目初始至设计转换的整个过程中关于产品设计的系统性和受控的开发过程文件的程序。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7.2</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采购程序</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用于形成符合已制定的质量和/或产品技术参数的采购产品/服务文件的程序。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7.3</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生产和服务控制程序</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用于形成受控条件下生产和服务活动文件的程序，这些程序阐述诸如产品的清洁和污染的控制、安装和服务活动、过程确认、标识和可追溯性等问题。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7.4</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监视和测量装置控制程序</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用于形成质量管理体系运行过程中所使用的监视和测量设备已受控并持续符合既定要求的文件的程序。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8</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质量管理体系的测量、分析和改进程序</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用于形成如何监视、测量、分析和改进以确保产品和质量管理体系的符合性，并保持质量管理体系有效性的文件的程序。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9</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其他质量体系程序信息</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CR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不属于上述内容，但对此次申报较为重要的其他信息。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质量管理体系核查文件</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NR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10.1</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注册人基本情况表</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详细描述注册人的整体情况，一般以表格方式呈现。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10.2</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注册人组织机构图</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10.3</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生产企业总平面布置图、生产区域分布图</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10.4</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环境检测报告复印件</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CR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如生产过程有净化要求的应当提供有资质的检测机构出具的环境检测报告（附平面布局图）复印件。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10.5</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产品生产工艺流程图</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产品生产工艺流程图，应当标明主要控制点与项目及主要原材料、采购件的来源及质量控制方法。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10.6</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主要生产设备和检验设备目录</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主要生产设备和检验设备（包括进货检验、过程检验、出厂的最终检验相关设备；如需净化生产的，还应当提供环境监测设备）目录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10.7</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注册质量管理体系自查报告</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184"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b/>
                <w:bCs/>
                <w:color w:val="auto"/>
                <w:kern w:val="0"/>
                <w:sz w:val="22"/>
                <w:szCs w:val="22"/>
              </w:rPr>
            </w:pPr>
            <w:r>
              <w:rPr>
                <w:b/>
                <w:bCs/>
                <w:color w:val="auto"/>
                <w:kern w:val="0"/>
                <w:sz w:val="22"/>
                <w:szCs w:val="22"/>
              </w:rPr>
              <w:t>CH</w:t>
            </w:r>
            <w:r>
              <w:rPr>
                <w:rFonts w:hint="eastAsia"/>
                <w:b/>
                <w:bCs/>
                <w:color w:val="auto"/>
                <w:kern w:val="0"/>
                <w:sz w:val="22"/>
                <w:szCs w:val="22"/>
              </w:rPr>
              <w:t>6</w:t>
            </w:r>
            <w:r>
              <w:rPr>
                <w:b/>
                <w:bCs/>
                <w:color w:val="auto"/>
                <w:kern w:val="0"/>
                <w:sz w:val="22"/>
                <w:szCs w:val="22"/>
              </w:rPr>
              <w:t>.</w:t>
            </w:r>
            <w:r>
              <w:rPr>
                <w:rFonts w:hint="eastAsia"/>
                <w:b/>
                <w:bCs/>
                <w:color w:val="auto"/>
                <w:kern w:val="0"/>
                <w:sz w:val="22"/>
                <w:szCs w:val="22"/>
              </w:rPr>
              <w:t>10.8</w:t>
            </w:r>
          </w:p>
        </w:tc>
        <w:tc>
          <w:tcPr>
            <w:tcW w:w="2099"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拟核查产品与既往已通过核查产品的对比说明</w:t>
            </w:r>
          </w:p>
        </w:tc>
        <w:tc>
          <w:tcPr>
            <w:tcW w:w="753"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color w:val="auto"/>
                <w:kern w:val="0"/>
                <w:sz w:val="22"/>
                <w:szCs w:val="22"/>
              </w:rPr>
            </w:pPr>
            <w:r>
              <w:rPr>
                <w:rFonts w:hint="eastAsia"/>
                <w:color w:val="auto"/>
                <w:kern w:val="0"/>
                <w:sz w:val="22"/>
                <w:szCs w:val="22"/>
              </w:rPr>
              <w:t>CR</w:t>
            </w:r>
          </w:p>
        </w:tc>
        <w:tc>
          <w:tcPr>
            <w:tcW w:w="5452"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如适用，应当提供拟核查产品与既往已通过核查产品在生产条件、生产工艺等方面的对比说明。</w:t>
            </w:r>
          </w:p>
        </w:tc>
      </w:tr>
    </w:tbl>
    <w:p>
      <w:pPr>
        <w:jc w:val="left"/>
        <w:rPr>
          <w:color w:val="auto"/>
        </w:rPr>
      </w:pPr>
    </w:p>
    <w:p>
      <w:pPr>
        <w:jc w:val="left"/>
        <w:rPr>
          <w:color w:val="auto"/>
        </w:rPr>
      </w:pPr>
      <w:r>
        <w:rPr>
          <w:rFonts w:hint="eastAsia"/>
          <w:b/>
          <w:color w:val="auto"/>
          <w:sz w:val="28"/>
          <w:szCs w:val="28"/>
        </w:rPr>
        <w:t>说明：R----必传      NR----不必传      CR----选传</w:t>
      </w:r>
    </w:p>
    <w:p>
      <w:pPr>
        <w:widowControl/>
        <w:jc w:val="left"/>
        <w:rPr>
          <w:rFonts w:eastAsia="黑体"/>
          <w:bCs/>
          <w:color w:val="auto"/>
          <w:kern w:val="44"/>
          <w:sz w:val="32"/>
          <w:szCs w:val="44"/>
          <w:lang w:val="zh-CN"/>
        </w:rPr>
      </w:pPr>
      <w:r>
        <w:rPr>
          <w:color w:val="auto"/>
        </w:rPr>
        <w:br w:type="page"/>
      </w:r>
      <w:r>
        <w:rPr>
          <w:rFonts w:hint="eastAsia" w:eastAsia="黑体"/>
          <w:bCs/>
          <w:color w:val="auto"/>
          <w:kern w:val="44"/>
          <w:sz w:val="32"/>
          <w:szCs w:val="44"/>
          <w:lang w:val="zh-CN"/>
        </w:rPr>
        <w:t>五</w:t>
      </w:r>
      <w:r>
        <w:rPr>
          <w:rFonts w:eastAsia="黑体"/>
          <w:bCs/>
          <w:color w:val="auto"/>
          <w:kern w:val="44"/>
          <w:sz w:val="32"/>
          <w:szCs w:val="44"/>
          <w:lang w:val="zh-CN"/>
        </w:rPr>
        <w:t>、</w:t>
      </w:r>
      <w:r>
        <w:rPr>
          <w:rFonts w:hint="eastAsia" w:eastAsia="黑体"/>
          <w:bCs/>
          <w:color w:val="auto"/>
          <w:kern w:val="44"/>
          <w:sz w:val="32"/>
          <w:szCs w:val="44"/>
          <w:lang w:val="zh-CN"/>
        </w:rPr>
        <w:t>湖南省</w:t>
      </w:r>
      <w:r>
        <w:rPr>
          <w:rFonts w:eastAsia="黑体"/>
          <w:bCs/>
          <w:color w:val="auto"/>
          <w:kern w:val="44"/>
          <w:sz w:val="32"/>
          <w:szCs w:val="44"/>
          <w:lang w:val="zh-CN"/>
        </w:rPr>
        <w:t>第二类医疗器械延续注册申报资料电子目录</w:t>
      </w:r>
    </w:p>
    <w:tbl>
      <w:tblPr>
        <w:tblStyle w:val="11"/>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416"/>
        <w:gridCol w:w="2548"/>
        <w:gridCol w:w="709"/>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85" w:hRule="atLeast"/>
          <w:tblHeader/>
          <w:jc w:val="center"/>
        </w:trPr>
        <w:tc>
          <w:tcPr>
            <w:tcW w:w="1416" w:type="dxa"/>
            <w:shd w:val="clear" w:color="auto" w:fill="FFFFFF"/>
            <w:vAlign w:val="center"/>
          </w:tcPr>
          <w:p>
            <w:pPr>
              <w:widowControl/>
              <w:jc w:val="center"/>
              <w:rPr>
                <w:rFonts w:eastAsia="黑体"/>
                <w:bCs/>
                <w:color w:val="auto"/>
                <w:kern w:val="0"/>
                <w:sz w:val="22"/>
                <w:szCs w:val="22"/>
              </w:rPr>
            </w:pPr>
            <w:r>
              <w:rPr>
                <w:rFonts w:eastAsia="黑体"/>
                <w:bCs/>
                <w:color w:val="auto"/>
                <w:kern w:val="0"/>
                <w:sz w:val="22"/>
                <w:szCs w:val="22"/>
              </w:rPr>
              <w:t>RPS目录</w:t>
            </w:r>
          </w:p>
        </w:tc>
        <w:tc>
          <w:tcPr>
            <w:tcW w:w="2548" w:type="dxa"/>
            <w:shd w:val="clear" w:color="auto" w:fill="FFFFFF"/>
            <w:vAlign w:val="center"/>
          </w:tcPr>
          <w:p>
            <w:pPr>
              <w:widowControl/>
              <w:jc w:val="center"/>
              <w:rPr>
                <w:rFonts w:eastAsia="黑体"/>
                <w:bCs/>
                <w:color w:val="auto"/>
                <w:kern w:val="0"/>
                <w:sz w:val="22"/>
                <w:szCs w:val="22"/>
              </w:rPr>
            </w:pPr>
            <w:r>
              <w:rPr>
                <w:rFonts w:eastAsia="黑体"/>
                <w:bCs/>
                <w:color w:val="auto"/>
                <w:kern w:val="0"/>
                <w:sz w:val="22"/>
                <w:szCs w:val="22"/>
              </w:rPr>
              <w:t>标题</w:t>
            </w:r>
          </w:p>
        </w:tc>
        <w:tc>
          <w:tcPr>
            <w:tcW w:w="709" w:type="dxa"/>
            <w:shd w:val="clear" w:color="auto" w:fill="FFFFFF"/>
            <w:vAlign w:val="center"/>
          </w:tcPr>
          <w:p>
            <w:pPr>
              <w:widowControl/>
              <w:jc w:val="center"/>
              <w:rPr>
                <w:rFonts w:eastAsia="黑体"/>
                <w:bCs/>
                <w:color w:val="auto"/>
                <w:kern w:val="0"/>
                <w:sz w:val="22"/>
                <w:szCs w:val="22"/>
              </w:rPr>
            </w:pPr>
            <w:r>
              <w:rPr>
                <w:rFonts w:eastAsia="黑体"/>
                <w:bCs/>
                <w:color w:val="auto"/>
                <w:kern w:val="0"/>
                <w:sz w:val="22"/>
                <w:szCs w:val="22"/>
              </w:rPr>
              <w:t>适用情况</w:t>
            </w:r>
          </w:p>
        </w:tc>
        <w:tc>
          <w:tcPr>
            <w:tcW w:w="4933" w:type="dxa"/>
            <w:shd w:val="clear" w:color="auto" w:fill="FFFFFF"/>
            <w:vAlign w:val="center"/>
          </w:tcPr>
          <w:p>
            <w:pPr>
              <w:widowControl/>
              <w:jc w:val="center"/>
              <w:rPr>
                <w:rFonts w:eastAsia="黑体"/>
                <w:bCs/>
                <w:color w:val="auto"/>
                <w:kern w:val="0"/>
                <w:sz w:val="22"/>
                <w:szCs w:val="22"/>
              </w:rPr>
            </w:pPr>
            <w:r>
              <w:rPr>
                <w:rFonts w:eastAsia="黑体"/>
                <w:bCs/>
                <w:color w:val="auto"/>
                <w:kern w:val="0"/>
                <w:sz w:val="22"/>
                <w:szCs w:val="22"/>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97" w:hRule="atLeast"/>
          <w:jc w:val="center"/>
        </w:trPr>
        <w:tc>
          <w:tcPr>
            <w:tcW w:w="9606" w:type="dxa"/>
            <w:gridSpan w:val="4"/>
            <w:shd w:val="clear" w:color="auto" w:fill="FFFFFF"/>
            <w:vAlign w:val="center"/>
          </w:tcPr>
          <w:p>
            <w:pPr>
              <w:widowControl/>
              <w:jc w:val="center"/>
              <w:rPr>
                <w:color w:val="auto"/>
                <w:kern w:val="0"/>
                <w:sz w:val="22"/>
                <w:szCs w:val="22"/>
              </w:rPr>
            </w:pPr>
            <w:r>
              <w:rPr>
                <w:b/>
                <w:bCs/>
                <w:color w:val="auto"/>
                <w:kern w:val="0"/>
                <w:sz w:val="22"/>
                <w:szCs w:val="22"/>
              </w:rPr>
              <w:t>第1章——</w:t>
            </w:r>
            <w:r>
              <w:rPr>
                <w:rFonts w:hint="eastAsia"/>
                <w:b/>
                <w:bCs/>
                <w:color w:val="auto"/>
                <w:kern w:val="0"/>
                <w:sz w:val="22"/>
                <w:szCs w:val="22"/>
              </w:rPr>
              <w:t>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74" w:hRule="atLeast"/>
          <w:jc w:val="center"/>
        </w:trPr>
        <w:tc>
          <w:tcPr>
            <w:tcW w:w="1416" w:type="dxa"/>
            <w:shd w:val="clear" w:color="auto" w:fill="FFFFFF"/>
            <w:vAlign w:val="center"/>
          </w:tcPr>
          <w:p>
            <w:pPr>
              <w:widowControl/>
              <w:jc w:val="center"/>
              <w:rPr>
                <w:b/>
                <w:bCs/>
                <w:color w:val="auto"/>
                <w:kern w:val="0"/>
                <w:sz w:val="22"/>
                <w:szCs w:val="22"/>
              </w:rPr>
            </w:pPr>
            <w:r>
              <w:rPr>
                <w:b/>
                <w:bCs/>
                <w:color w:val="auto"/>
                <w:kern w:val="0"/>
                <w:sz w:val="22"/>
                <w:szCs w:val="22"/>
              </w:rPr>
              <w:t>CH1.1</w:t>
            </w:r>
          </w:p>
        </w:tc>
        <w:tc>
          <w:tcPr>
            <w:tcW w:w="2548" w:type="dxa"/>
            <w:shd w:val="clear" w:color="auto" w:fill="FFFFFF"/>
            <w:vAlign w:val="center"/>
          </w:tcPr>
          <w:p>
            <w:pPr>
              <w:widowControl/>
              <w:jc w:val="left"/>
              <w:rPr>
                <w:color w:val="auto"/>
                <w:kern w:val="0"/>
                <w:sz w:val="22"/>
                <w:szCs w:val="22"/>
              </w:rPr>
            </w:pPr>
            <w:r>
              <w:rPr>
                <w:rFonts w:hint="eastAsia"/>
                <w:color w:val="auto"/>
                <w:kern w:val="0"/>
                <w:sz w:val="22"/>
                <w:szCs w:val="22"/>
              </w:rPr>
              <w:t>章节目录</w:t>
            </w:r>
          </w:p>
        </w:tc>
        <w:tc>
          <w:tcPr>
            <w:tcW w:w="709" w:type="dxa"/>
            <w:shd w:val="clear" w:color="auto" w:fill="FFFFFF"/>
            <w:vAlign w:val="center"/>
          </w:tcPr>
          <w:p>
            <w:pPr>
              <w:widowControl/>
              <w:jc w:val="center"/>
              <w:rPr>
                <w:color w:val="auto"/>
                <w:kern w:val="0"/>
                <w:sz w:val="22"/>
                <w:szCs w:val="22"/>
              </w:rPr>
            </w:pPr>
            <w:r>
              <w:rPr>
                <w:color w:val="auto"/>
                <w:kern w:val="0"/>
                <w:sz w:val="22"/>
                <w:szCs w:val="22"/>
              </w:rPr>
              <w:t>R</w:t>
            </w:r>
          </w:p>
        </w:tc>
        <w:tc>
          <w:tcPr>
            <w:tcW w:w="4933" w:type="dxa"/>
            <w:shd w:val="clear" w:color="auto" w:fill="FFFFFF"/>
            <w:vAlign w:val="center"/>
          </w:tcPr>
          <w:p>
            <w:pPr>
              <w:widowControl/>
              <w:jc w:val="left"/>
              <w:rPr>
                <w:color w:val="auto"/>
                <w:kern w:val="0"/>
                <w:sz w:val="22"/>
                <w:szCs w:val="22"/>
              </w:rPr>
            </w:pPr>
            <w:r>
              <w:rPr>
                <w:rFonts w:hint="eastAsia"/>
                <w:color w:val="auto"/>
                <w:kern w:val="0"/>
                <w:sz w:val="22"/>
                <w:szCs w:val="22"/>
              </w:rPr>
              <w:t>应当包括本章的所有标题和小标题，注明目录中各内容的页码，一般以表格形式体现</w:t>
            </w:r>
            <w:r>
              <w:rPr>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1416" w:type="dxa"/>
            <w:shd w:val="clear" w:color="auto" w:fill="FFFFFF"/>
            <w:vAlign w:val="center"/>
          </w:tcPr>
          <w:p>
            <w:pPr>
              <w:widowControl/>
              <w:jc w:val="center"/>
              <w:rPr>
                <w:b/>
                <w:bCs/>
                <w:color w:val="auto"/>
                <w:kern w:val="0"/>
                <w:sz w:val="22"/>
                <w:szCs w:val="22"/>
              </w:rPr>
            </w:pPr>
            <w:r>
              <w:rPr>
                <w:b/>
                <w:bCs/>
                <w:color w:val="auto"/>
                <w:kern w:val="0"/>
                <w:sz w:val="22"/>
                <w:szCs w:val="22"/>
              </w:rPr>
              <w:t>CH1.2</w:t>
            </w:r>
          </w:p>
        </w:tc>
        <w:tc>
          <w:tcPr>
            <w:tcW w:w="2548" w:type="dxa"/>
            <w:shd w:val="clear" w:color="auto" w:fill="FFFFFF"/>
            <w:vAlign w:val="center"/>
          </w:tcPr>
          <w:p>
            <w:pPr>
              <w:widowControl/>
              <w:jc w:val="left"/>
              <w:rPr>
                <w:color w:val="auto"/>
                <w:kern w:val="0"/>
                <w:sz w:val="22"/>
                <w:szCs w:val="22"/>
              </w:rPr>
            </w:pPr>
            <w:r>
              <w:rPr>
                <w:rFonts w:hint="eastAsia"/>
                <w:color w:val="auto"/>
                <w:kern w:val="0"/>
                <w:sz w:val="22"/>
                <w:szCs w:val="22"/>
              </w:rPr>
              <w:t>申请表</w:t>
            </w:r>
          </w:p>
        </w:tc>
        <w:tc>
          <w:tcPr>
            <w:tcW w:w="709" w:type="dxa"/>
            <w:shd w:val="clear" w:color="auto" w:fill="FFFFFF"/>
            <w:vAlign w:val="center"/>
          </w:tcPr>
          <w:p>
            <w:pPr>
              <w:widowControl/>
              <w:jc w:val="center"/>
              <w:rPr>
                <w:color w:val="auto"/>
                <w:kern w:val="0"/>
                <w:sz w:val="22"/>
                <w:szCs w:val="22"/>
              </w:rPr>
            </w:pPr>
            <w:r>
              <w:rPr>
                <w:color w:val="auto"/>
                <w:kern w:val="0"/>
                <w:sz w:val="22"/>
                <w:szCs w:val="22"/>
              </w:rPr>
              <w:t>R</w:t>
            </w:r>
          </w:p>
        </w:tc>
        <w:tc>
          <w:tcPr>
            <w:tcW w:w="4933" w:type="dxa"/>
            <w:shd w:val="clear" w:color="auto" w:fill="FFFFFF"/>
            <w:vAlign w:val="center"/>
          </w:tcPr>
          <w:p>
            <w:pPr>
              <w:keepNext w:val="0"/>
              <w:keepLines w:val="0"/>
              <w:pageBreakBefore w:val="0"/>
              <w:widowControl w:val="0"/>
              <w:kinsoku/>
              <w:wordWrap/>
              <w:overflowPunct/>
              <w:topLinePunct w:val="0"/>
              <w:autoSpaceDE/>
              <w:autoSpaceDN/>
              <w:bidi w:val="0"/>
              <w:adjustRightInd/>
              <w:snapToGrid/>
              <w:textAlignment w:val="auto"/>
              <w:outlineLvl w:val="9"/>
              <w:rPr>
                <w:color w:val="auto"/>
                <w:sz w:val="22"/>
                <w:szCs w:val="22"/>
              </w:rPr>
            </w:pPr>
            <w:r>
              <w:rPr>
                <w:color w:val="auto"/>
                <w:sz w:val="22"/>
                <w:szCs w:val="22"/>
              </w:rPr>
              <w:t>在省药品监督管理局医疗器械注册电子申报子系统中填写并加盖电子印章</w:t>
            </w:r>
            <w:r>
              <w:rPr>
                <w:rFonts w:hint="eastAsia"/>
                <w:color w:val="auto"/>
                <w:sz w:val="22"/>
                <w:szCs w:val="22"/>
              </w:rPr>
              <w:t>；样表可在政务服务旗舰店办事指南查看。</w:t>
            </w:r>
          </w:p>
          <w:p>
            <w:pPr>
              <w:widowControl/>
              <w:jc w:val="left"/>
              <w:rPr>
                <w:color w:val="auto"/>
                <w:kern w:val="0"/>
                <w:sz w:val="22"/>
                <w:szCs w:val="22"/>
              </w:rPr>
            </w:pPr>
            <w:r>
              <w:rPr>
                <w:rFonts w:hint="eastAsia"/>
                <w:color w:val="auto"/>
                <w:kern w:val="0"/>
                <w:sz w:val="22"/>
                <w:szCs w:val="22"/>
              </w:rPr>
              <w:t>1.企业提供的申请表信息与“国家企业信用信息公示系统”公示的信息一致，并显示企业处于存续状态；</w:t>
            </w:r>
          </w:p>
          <w:p>
            <w:pPr>
              <w:widowControl/>
              <w:jc w:val="left"/>
              <w:rPr>
                <w:rFonts w:hint="eastAsia" w:eastAsia="宋体"/>
                <w:color w:val="auto"/>
                <w:kern w:val="0"/>
                <w:sz w:val="22"/>
                <w:szCs w:val="22"/>
                <w:shd w:val="pct10" w:color="auto" w:fill="FFFFFF"/>
                <w:lang w:val="en-US" w:eastAsia="zh-CN"/>
              </w:rPr>
            </w:pPr>
            <w:r>
              <w:rPr>
                <w:rFonts w:hint="eastAsia"/>
                <w:color w:val="auto"/>
                <w:kern w:val="0"/>
                <w:sz w:val="22"/>
                <w:szCs w:val="22"/>
              </w:rPr>
              <w:t>2.申请表中分类编码属于医疗器械产品分类目录中二类产品，其产品名称应与原注册证或历次变更（备案）批件中产品名称一致</w:t>
            </w:r>
            <w:r>
              <w:rPr>
                <w:rFonts w:hint="eastAsia"/>
                <w:color w:val="auto"/>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59" w:hRule="atLeast"/>
          <w:jc w:val="center"/>
        </w:trPr>
        <w:tc>
          <w:tcPr>
            <w:tcW w:w="1416" w:type="dxa"/>
            <w:shd w:val="clear" w:color="auto" w:fill="FFFFFF"/>
            <w:vAlign w:val="center"/>
          </w:tcPr>
          <w:p>
            <w:pPr>
              <w:widowControl/>
              <w:jc w:val="center"/>
              <w:rPr>
                <w:b/>
                <w:bCs/>
                <w:color w:val="auto"/>
                <w:kern w:val="0"/>
                <w:sz w:val="22"/>
                <w:szCs w:val="22"/>
              </w:rPr>
            </w:pPr>
            <w:r>
              <w:rPr>
                <w:b/>
                <w:bCs/>
                <w:color w:val="auto"/>
                <w:kern w:val="0"/>
                <w:sz w:val="22"/>
                <w:szCs w:val="22"/>
              </w:rPr>
              <w:t>CH1.3</w:t>
            </w:r>
          </w:p>
        </w:tc>
        <w:tc>
          <w:tcPr>
            <w:tcW w:w="2548" w:type="dxa"/>
            <w:shd w:val="clear" w:color="auto" w:fill="FFFFFF"/>
            <w:vAlign w:val="center"/>
          </w:tcPr>
          <w:p>
            <w:pPr>
              <w:widowControl/>
              <w:jc w:val="left"/>
              <w:rPr>
                <w:color w:val="auto"/>
                <w:kern w:val="0"/>
                <w:sz w:val="22"/>
                <w:szCs w:val="22"/>
              </w:rPr>
            </w:pPr>
            <w:r>
              <w:rPr>
                <w:rFonts w:hint="eastAsia"/>
                <w:color w:val="auto"/>
                <w:kern w:val="0"/>
                <w:sz w:val="22"/>
                <w:szCs w:val="22"/>
              </w:rPr>
              <w:t>关联文件</w:t>
            </w:r>
          </w:p>
        </w:tc>
        <w:tc>
          <w:tcPr>
            <w:tcW w:w="709" w:type="dxa"/>
            <w:shd w:val="clear" w:color="auto" w:fill="FFFFFF"/>
            <w:vAlign w:val="center"/>
          </w:tcPr>
          <w:p>
            <w:pPr>
              <w:widowControl/>
              <w:jc w:val="center"/>
              <w:rPr>
                <w:color w:val="auto"/>
                <w:kern w:val="0"/>
                <w:sz w:val="22"/>
                <w:szCs w:val="22"/>
              </w:rPr>
            </w:pPr>
            <w:r>
              <w:rPr>
                <w:color w:val="auto"/>
                <w:kern w:val="0"/>
                <w:sz w:val="22"/>
                <w:szCs w:val="22"/>
              </w:rPr>
              <w:t>R</w:t>
            </w:r>
          </w:p>
        </w:tc>
        <w:tc>
          <w:tcPr>
            <w:tcW w:w="4933" w:type="dxa"/>
            <w:shd w:val="clear" w:color="auto" w:fill="FFFFFF"/>
            <w:vAlign w:val="center"/>
          </w:tcPr>
          <w:p>
            <w:pPr>
              <w:widowControl/>
              <w:jc w:val="left"/>
              <w:rPr>
                <w:color w:val="auto"/>
                <w:kern w:val="0"/>
                <w:sz w:val="22"/>
                <w:szCs w:val="22"/>
              </w:rPr>
            </w:pPr>
            <w:r>
              <w:rPr>
                <w:rFonts w:hint="eastAsia"/>
                <w:color w:val="auto"/>
                <w:kern w:val="0"/>
                <w:sz w:val="22"/>
                <w:szCs w:val="22"/>
              </w:rPr>
              <w:t>1.有效期届满前6个月原</w:t>
            </w:r>
            <w:r>
              <w:rPr>
                <w:color w:val="auto"/>
                <w:kern w:val="0"/>
                <w:sz w:val="22"/>
                <w:szCs w:val="22"/>
              </w:rPr>
              <w:t>医疗器械注册证</w:t>
            </w:r>
            <w:r>
              <w:rPr>
                <w:rFonts w:hint="eastAsia"/>
                <w:color w:val="auto"/>
                <w:kern w:val="0"/>
                <w:sz w:val="22"/>
                <w:szCs w:val="22"/>
              </w:rPr>
              <w:t>、历次变更（备案）批件</w:t>
            </w:r>
            <w:r>
              <w:rPr>
                <w:color w:val="auto"/>
                <w:kern w:val="0"/>
                <w:sz w:val="22"/>
                <w:szCs w:val="22"/>
              </w:rPr>
              <w:t>应有“湖南省药品监督管理局医疗器械注册专用章”，产品技术要求</w:t>
            </w:r>
            <w:r>
              <w:rPr>
                <w:rFonts w:hint="eastAsia"/>
                <w:color w:val="auto"/>
                <w:kern w:val="0"/>
                <w:sz w:val="22"/>
                <w:szCs w:val="22"/>
              </w:rPr>
              <w:t>和历次变更注册的附件</w:t>
            </w:r>
            <w:r>
              <w:rPr>
                <w:color w:val="auto"/>
                <w:kern w:val="0"/>
                <w:sz w:val="22"/>
                <w:szCs w:val="22"/>
              </w:rPr>
              <w:t>应有“湖南省药品监督管理局医疗器械注册专用章”及“湖南省药品审评与不良反应监测中心业务专用章”；提供的</w:t>
            </w:r>
            <w:r>
              <w:rPr>
                <w:rFonts w:hint="eastAsia"/>
                <w:color w:val="auto"/>
                <w:kern w:val="0"/>
                <w:sz w:val="22"/>
                <w:szCs w:val="22"/>
              </w:rPr>
              <w:t>原医疗器械</w:t>
            </w:r>
            <w:r>
              <w:rPr>
                <w:color w:val="auto"/>
                <w:kern w:val="0"/>
                <w:sz w:val="22"/>
                <w:szCs w:val="22"/>
              </w:rPr>
              <w:t>注册证（产品名称、注册号、注册人）应与申请表信息一致。</w:t>
            </w:r>
          </w:p>
          <w:p>
            <w:pPr>
              <w:widowControl/>
              <w:jc w:val="left"/>
              <w:rPr>
                <w:strike/>
                <w:color w:val="auto"/>
                <w:kern w:val="0"/>
                <w:sz w:val="22"/>
                <w:szCs w:val="22"/>
              </w:rPr>
            </w:pPr>
            <w:r>
              <w:rPr>
                <w:rFonts w:hint="eastAsia"/>
                <w:color w:val="auto"/>
                <w:kern w:val="0"/>
                <w:sz w:val="22"/>
                <w:szCs w:val="22"/>
              </w:rPr>
              <w:t>2.</w:t>
            </w:r>
            <w:r>
              <w:rPr>
                <w:color w:val="auto"/>
                <w:kern w:val="0"/>
                <w:sz w:val="22"/>
                <w:szCs w:val="22"/>
              </w:rPr>
              <w:t>如医疗器械注册证有效期内有新的医疗器械强制性标准</w:t>
            </w:r>
            <w:r>
              <w:rPr>
                <w:rFonts w:hint="eastAsia"/>
                <w:color w:val="auto"/>
                <w:kern w:val="0"/>
                <w:sz w:val="22"/>
                <w:szCs w:val="22"/>
              </w:rPr>
              <w:t>和/或国家标准</w:t>
            </w:r>
            <w:r>
              <w:rPr>
                <w:color w:val="auto"/>
                <w:kern w:val="0"/>
                <w:sz w:val="22"/>
                <w:szCs w:val="22"/>
              </w:rPr>
              <w:t>发布实施，已注册产品为符合新的强制性标准</w:t>
            </w:r>
            <w:r>
              <w:rPr>
                <w:rFonts w:hint="eastAsia"/>
                <w:color w:val="auto"/>
                <w:kern w:val="0"/>
                <w:sz w:val="22"/>
                <w:szCs w:val="22"/>
              </w:rPr>
              <w:t>和/或国家标准</w:t>
            </w:r>
            <w:r>
              <w:rPr>
                <w:color w:val="auto"/>
                <w:kern w:val="0"/>
                <w:sz w:val="22"/>
                <w:szCs w:val="22"/>
              </w:rPr>
              <w:t>所做的变化属于应当办理变更注册的，注册人应当提交申请延续注册前已获得原审批部门批准的变更注册（备案）文件及其附件的复印件。已注册产品为符合新的强制性标准</w:t>
            </w:r>
            <w:r>
              <w:rPr>
                <w:rFonts w:hint="eastAsia"/>
                <w:color w:val="auto"/>
                <w:kern w:val="0"/>
                <w:sz w:val="22"/>
                <w:szCs w:val="22"/>
              </w:rPr>
              <w:t>和/或国家标准</w:t>
            </w:r>
            <w:r>
              <w:rPr>
                <w:color w:val="auto"/>
                <w:kern w:val="0"/>
                <w:sz w:val="22"/>
                <w:szCs w:val="22"/>
              </w:rPr>
              <w:t>所做的变化属于无需办理变更注册手续或者无需变化即可符合新的强制性标准</w:t>
            </w:r>
            <w:r>
              <w:rPr>
                <w:rFonts w:hint="eastAsia"/>
                <w:color w:val="auto"/>
                <w:kern w:val="0"/>
                <w:sz w:val="22"/>
                <w:szCs w:val="22"/>
              </w:rPr>
              <w:t>和/或国家标准</w:t>
            </w:r>
            <w:r>
              <w:rPr>
                <w:color w:val="auto"/>
                <w:kern w:val="0"/>
                <w:sz w:val="22"/>
                <w:szCs w:val="22"/>
              </w:rPr>
              <w:t>的，注册人应当提供情况说明。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5" w:hRule="atLeast"/>
          <w:jc w:val="center"/>
        </w:trPr>
        <w:tc>
          <w:tcPr>
            <w:tcW w:w="1416" w:type="dxa"/>
            <w:shd w:val="clear" w:color="auto" w:fill="FFFFFF"/>
            <w:vAlign w:val="center"/>
          </w:tcPr>
          <w:p>
            <w:pPr>
              <w:widowControl/>
              <w:jc w:val="center"/>
              <w:rPr>
                <w:b/>
                <w:bCs/>
                <w:color w:val="auto"/>
                <w:kern w:val="0"/>
                <w:sz w:val="22"/>
                <w:szCs w:val="22"/>
              </w:rPr>
            </w:pPr>
            <w:r>
              <w:rPr>
                <w:b/>
                <w:bCs/>
                <w:color w:val="auto"/>
                <w:kern w:val="0"/>
                <w:sz w:val="22"/>
                <w:szCs w:val="22"/>
              </w:rPr>
              <w:t>CH1.4</w:t>
            </w:r>
          </w:p>
        </w:tc>
        <w:tc>
          <w:tcPr>
            <w:tcW w:w="2548" w:type="dxa"/>
            <w:shd w:val="clear" w:color="auto" w:fill="FFFFFF"/>
            <w:vAlign w:val="center"/>
          </w:tcPr>
          <w:p>
            <w:pPr>
              <w:widowControl/>
              <w:jc w:val="left"/>
              <w:rPr>
                <w:color w:val="auto"/>
                <w:kern w:val="0"/>
                <w:sz w:val="22"/>
                <w:szCs w:val="22"/>
              </w:rPr>
            </w:pPr>
            <w:r>
              <w:rPr>
                <w:rFonts w:hint="eastAsia"/>
                <w:color w:val="auto"/>
                <w:kern w:val="0"/>
                <w:sz w:val="22"/>
                <w:szCs w:val="22"/>
              </w:rPr>
              <w:t>申报前与监管机构的联系情况和沟通记录</w:t>
            </w:r>
          </w:p>
        </w:tc>
        <w:tc>
          <w:tcPr>
            <w:tcW w:w="709" w:type="dxa"/>
            <w:shd w:val="clear" w:color="auto" w:fill="FFFFFF"/>
            <w:vAlign w:val="center"/>
          </w:tcPr>
          <w:p>
            <w:pPr>
              <w:widowControl/>
              <w:jc w:val="center"/>
              <w:rPr>
                <w:color w:val="auto"/>
                <w:kern w:val="0"/>
                <w:sz w:val="22"/>
                <w:szCs w:val="22"/>
              </w:rPr>
            </w:pPr>
            <w:r>
              <w:rPr>
                <w:color w:val="auto"/>
                <w:kern w:val="0"/>
                <w:sz w:val="22"/>
                <w:szCs w:val="22"/>
              </w:rPr>
              <w:t>R</w:t>
            </w:r>
          </w:p>
        </w:tc>
        <w:tc>
          <w:tcPr>
            <w:tcW w:w="4933" w:type="dxa"/>
            <w:shd w:val="clear" w:color="auto" w:fill="FFFFFF"/>
            <w:vAlign w:val="center"/>
          </w:tcPr>
          <w:p>
            <w:pPr>
              <w:widowControl/>
              <w:jc w:val="left"/>
              <w:rPr>
                <w:color w:val="auto"/>
                <w:kern w:val="0"/>
                <w:sz w:val="22"/>
                <w:szCs w:val="22"/>
              </w:rPr>
            </w:pPr>
            <w:r>
              <w:rPr>
                <w:rFonts w:hint="eastAsia"/>
                <w:color w:val="auto"/>
                <w:kern w:val="0"/>
                <w:sz w:val="22"/>
                <w:szCs w:val="22"/>
              </w:rPr>
              <w:t>1.在注册证有效期内，如果注册人与监管机构针对申报产品以会议形式进行了沟通，应当提供下列内容（如适用）：</w:t>
            </w:r>
          </w:p>
          <w:p>
            <w:pPr>
              <w:widowControl/>
              <w:jc w:val="left"/>
              <w:rPr>
                <w:color w:val="auto"/>
                <w:kern w:val="0"/>
                <w:sz w:val="22"/>
                <w:szCs w:val="22"/>
              </w:rPr>
            </w:pPr>
            <w:r>
              <w:rPr>
                <w:rFonts w:hint="eastAsia"/>
                <w:color w:val="auto"/>
                <w:kern w:val="0"/>
                <w:sz w:val="22"/>
                <w:szCs w:val="22"/>
              </w:rPr>
              <w:t>（1）列出监管机构回复的沟通情况。</w:t>
            </w:r>
          </w:p>
          <w:p>
            <w:pPr>
              <w:widowControl/>
              <w:jc w:val="left"/>
              <w:rPr>
                <w:color w:val="auto"/>
                <w:kern w:val="0"/>
                <w:sz w:val="22"/>
                <w:szCs w:val="22"/>
              </w:rPr>
            </w:pPr>
            <w:r>
              <w:rPr>
                <w:rFonts w:hint="eastAsia"/>
                <w:color w:val="auto"/>
                <w:kern w:val="0"/>
                <w:sz w:val="22"/>
                <w:szCs w:val="22"/>
              </w:rPr>
              <w:t>（2）在沟通中，注册人明确提出的问题，以及监管机构提供的建议。</w:t>
            </w:r>
          </w:p>
          <w:p>
            <w:pPr>
              <w:widowControl/>
              <w:jc w:val="left"/>
              <w:rPr>
                <w:color w:val="auto"/>
                <w:kern w:val="0"/>
                <w:sz w:val="22"/>
                <w:szCs w:val="22"/>
              </w:rPr>
            </w:pPr>
            <w:r>
              <w:rPr>
                <w:rFonts w:hint="eastAsia"/>
                <w:color w:val="auto"/>
                <w:kern w:val="0"/>
                <w:sz w:val="22"/>
                <w:szCs w:val="22"/>
              </w:rPr>
              <w:t>（3）说明在本次申报中如何解决上述问题。</w:t>
            </w:r>
          </w:p>
          <w:p>
            <w:pPr>
              <w:widowControl/>
              <w:jc w:val="left"/>
              <w:rPr>
                <w:color w:val="auto"/>
                <w:kern w:val="0"/>
                <w:sz w:val="22"/>
                <w:szCs w:val="22"/>
              </w:rPr>
            </w:pPr>
            <w:r>
              <w:rPr>
                <w:rFonts w:hint="eastAsia"/>
                <w:color w:val="auto"/>
                <w:kern w:val="0"/>
                <w:sz w:val="22"/>
                <w:szCs w:val="22"/>
              </w:rPr>
              <w:t>2.如不适用，应当明确声明申报产品在注册证有效期内没有既往申报和/或申报前沟通。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90" w:hRule="atLeast"/>
          <w:jc w:val="center"/>
        </w:trPr>
        <w:tc>
          <w:tcPr>
            <w:tcW w:w="1416" w:type="dxa"/>
            <w:shd w:val="clear" w:color="auto" w:fill="FFFFFF"/>
            <w:vAlign w:val="center"/>
          </w:tcPr>
          <w:p>
            <w:pPr>
              <w:widowControl/>
              <w:jc w:val="center"/>
              <w:rPr>
                <w:b/>
                <w:bCs/>
                <w:color w:val="auto"/>
                <w:kern w:val="0"/>
                <w:sz w:val="22"/>
                <w:szCs w:val="22"/>
              </w:rPr>
            </w:pPr>
            <w:r>
              <w:rPr>
                <w:b/>
                <w:bCs/>
                <w:color w:val="auto"/>
                <w:kern w:val="0"/>
                <w:sz w:val="22"/>
                <w:szCs w:val="22"/>
              </w:rPr>
              <w:t>CH1.5</w:t>
            </w:r>
          </w:p>
        </w:tc>
        <w:tc>
          <w:tcPr>
            <w:tcW w:w="2548" w:type="dxa"/>
            <w:shd w:val="clear" w:color="auto" w:fill="FFFFFF"/>
            <w:vAlign w:val="center"/>
          </w:tcPr>
          <w:p>
            <w:pPr>
              <w:widowControl/>
              <w:jc w:val="left"/>
              <w:rPr>
                <w:color w:val="auto"/>
                <w:kern w:val="0"/>
                <w:sz w:val="22"/>
                <w:szCs w:val="22"/>
              </w:rPr>
            </w:pPr>
            <w:r>
              <w:rPr>
                <w:rFonts w:hint="eastAsia"/>
                <w:color w:val="auto"/>
                <w:kern w:val="0"/>
                <w:sz w:val="22"/>
                <w:szCs w:val="22"/>
              </w:rPr>
              <w:t>符合性声明</w:t>
            </w:r>
          </w:p>
        </w:tc>
        <w:tc>
          <w:tcPr>
            <w:tcW w:w="709" w:type="dxa"/>
            <w:shd w:val="clear" w:color="auto" w:fill="FFFFFF"/>
            <w:vAlign w:val="center"/>
          </w:tcPr>
          <w:p>
            <w:pPr>
              <w:widowControl/>
              <w:jc w:val="center"/>
              <w:rPr>
                <w:color w:val="auto"/>
                <w:kern w:val="0"/>
                <w:sz w:val="22"/>
                <w:szCs w:val="22"/>
              </w:rPr>
            </w:pPr>
            <w:r>
              <w:rPr>
                <w:color w:val="auto"/>
                <w:kern w:val="0"/>
                <w:sz w:val="22"/>
                <w:szCs w:val="22"/>
              </w:rPr>
              <w:t>R</w:t>
            </w:r>
          </w:p>
        </w:tc>
        <w:tc>
          <w:tcPr>
            <w:tcW w:w="4933" w:type="dxa"/>
            <w:shd w:val="clear" w:color="auto" w:fill="FFFFFF"/>
            <w:vAlign w:val="center"/>
          </w:tcPr>
          <w:p>
            <w:pPr>
              <w:widowControl/>
              <w:jc w:val="left"/>
              <w:rPr>
                <w:color w:val="auto"/>
                <w:kern w:val="0"/>
                <w:sz w:val="22"/>
                <w:szCs w:val="22"/>
              </w:rPr>
            </w:pPr>
            <w:r>
              <w:rPr>
                <w:rFonts w:hint="eastAsia"/>
                <w:color w:val="auto"/>
                <w:kern w:val="0"/>
                <w:sz w:val="22"/>
                <w:szCs w:val="22"/>
              </w:rPr>
              <w:t>注册人应当声明下列内容：</w:t>
            </w:r>
          </w:p>
          <w:p>
            <w:pPr>
              <w:widowControl/>
              <w:numPr>
                <w:ilvl w:val="0"/>
                <w:numId w:val="0"/>
              </w:numPr>
              <w:jc w:val="left"/>
              <w:rPr>
                <w:color w:val="auto"/>
                <w:kern w:val="0"/>
                <w:sz w:val="22"/>
                <w:szCs w:val="22"/>
              </w:rPr>
            </w:pPr>
            <w:r>
              <w:rPr>
                <w:rFonts w:hint="eastAsia"/>
                <w:color w:val="auto"/>
                <w:kern w:val="0"/>
                <w:sz w:val="22"/>
                <w:szCs w:val="22"/>
                <w:lang w:val="en-US" w:eastAsia="zh-CN"/>
              </w:rPr>
              <w:t>1.</w:t>
            </w:r>
            <w:r>
              <w:rPr>
                <w:rFonts w:hint="eastAsia"/>
                <w:color w:val="auto"/>
                <w:kern w:val="0"/>
                <w:sz w:val="22"/>
                <w:szCs w:val="22"/>
              </w:rPr>
              <w:t>延续注册产品没有变化。如产品发生了注册证载明事项以外变化的，应当明确“产品所发生的变化通过质量管理体系进行控制，注册证载明事项无变化”。</w:t>
            </w:r>
          </w:p>
          <w:p>
            <w:pPr>
              <w:widowControl/>
              <w:jc w:val="left"/>
              <w:rPr>
                <w:color w:val="auto"/>
                <w:kern w:val="0"/>
                <w:sz w:val="22"/>
                <w:szCs w:val="22"/>
              </w:rPr>
            </w:pPr>
            <w:r>
              <w:rPr>
                <w:rFonts w:hint="eastAsia"/>
                <w:color w:val="auto"/>
                <w:kern w:val="0"/>
                <w:sz w:val="22"/>
                <w:szCs w:val="22"/>
              </w:rPr>
              <w:t>2.</w:t>
            </w:r>
            <w:r>
              <w:rPr>
                <w:color w:val="auto"/>
                <w:kern w:val="0"/>
                <w:sz w:val="22"/>
                <w:szCs w:val="22"/>
              </w:rPr>
              <w:t>延续注册产品符合《</w:t>
            </w:r>
            <w:r>
              <w:rPr>
                <w:rFonts w:hint="eastAsia"/>
                <w:color w:val="auto"/>
                <w:kern w:val="0"/>
                <w:sz w:val="22"/>
                <w:szCs w:val="22"/>
              </w:rPr>
              <w:t>医疗器械</w:t>
            </w:r>
            <w:r>
              <w:rPr>
                <w:color w:val="auto"/>
                <w:kern w:val="0"/>
                <w:sz w:val="22"/>
                <w:szCs w:val="22"/>
              </w:rPr>
              <w:t>注册与备案管理办法》和相关法规的要求。</w:t>
            </w:r>
          </w:p>
          <w:p>
            <w:pPr>
              <w:widowControl/>
              <w:jc w:val="left"/>
              <w:rPr>
                <w:color w:val="auto"/>
                <w:kern w:val="0"/>
                <w:sz w:val="22"/>
                <w:szCs w:val="22"/>
              </w:rPr>
            </w:pPr>
            <w:r>
              <w:rPr>
                <w:rFonts w:hint="eastAsia"/>
                <w:color w:val="auto"/>
                <w:kern w:val="0"/>
                <w:sz w:val="22"/>
                <w:szCs w:val="22"/>
              </w:rPr>
              <w:t>3.</w:t>
            </w:r>
            <w:r>
              <w:rPr>
                <w:color w:val="auto"/>
                <w:kern w:val="0"/>
                <w:sz w:val="22"/>
                <w:szCs w:val="22"/>
              </w:rPr>
              <w:t>延续注册产品符合《</w:t>
            </w:r>
            <w:r>
              <w:rPr>
                <w:rFonts w:hint="eastAsia"/>
                <w:color w:val="auto"/>
                <w:kern w:val="0"/>
                <w:sz w:val="22"/>
                <w:szCs w:val="22"/>
              </w:rPr>
              <w:t>医疗器械</w:t>
            </w:r>
            <w:r>
              <w:rPr>
                <w:color w:val="auto"/>
                <w:kern w:val="0"/>
                <w:sz w:val="22"/>
                <w:szCs w:val="22"/>
              </w:rPr>
              <w:t>分类规则》有关分类的要求。</w:t>
            </w:r>
          </w:p>
          <w:p>
            <w:pPr>
              <w:widowControl/>
              <w:jc w:val="left"/>
              <w:rPr>
                <w:color w:val="auto"/>
                <w:kern w:val="0"/>
                <w:sz w:val="22"/>
                <w:szCs w:val="22"/>
              </w:rPr>
            </w:pPr>
            <w:r>
              <w:rPr>
                <w:rFonts w:hint="eastAsia"/>
                <w:color w:val="auto"/>
                <w:kern w:val="0"/>
                <w:sz w:val="22"/>
                <w:szCs w:val="22"/>
              </w:rPr>
              <w:t>4.延续注册产品符合现行国家标准、行业标准，并提供符合标准的清单。</w:t>
            </w:r>
          </w:p>
          <w:p>
            <w:pPr>
              <w:widowControl/>
              <w:jc w:val="left"/>
              <w:rPr>
                <w:color w:val="auto"/>
                <w:kern w:val="0"/>
                <w:sz w:val="22"/>
                <w:szCs w:val="22"/>
              </w:rPr>
            </w:pPr>
            <w:r>
              <w:rPr>
                <w:rFonts w:hint="eastAsia"/>
                <w:color w:val="auto"/>
                <w:kern w:val="0"/>
                <w:sz w:val="22"/>
                <w:szCs w:val="22"/>
              </w:rPr>
              <w:t>5.保证所提交资料的真实性。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32" w:hRule="atLeast"/>
          <w:jc w:val="center"/>
        </w:trPr>
        <w:tc>
          <w:tcPr>
            <w:tcW w:w="9606" w:type="dxa"/>
            <w:gridSpan w:val="4"/>
            <w:shd w:val="clear" w:color="auto" w:fill="FFFFFF"/>
            <w:vAlign w:val="center"/>
          </w:tcPr>
          <w:p>
            <w:pPr>
              <w:widowControl/>
              <w:jc w:val="center"/>
              <w:rPr>
                <w:b/>
                <w:bCs/>
                <w:color w:val="auto"/>
                <w:kern w:val="0"/>
                <w:sz w:val="22"/>
                <w:szCs w:val="22"/>
              </w:rPr>
            </w:pPr>
            <w:r>
              <w:rPr>
                <w:b/>
                <w:bCs/>
                <w:color w:val="auto"/>
                <w:kern w:val="0"/>
                <w:sz w:val="22"/>
                <w:szCs w:val="22"/>
              </w:rPr>
              <w:t>第2章——</w:t>
            </w:r>
            <w:r>
              <w:rPr>
                <w:rFonts w:hint="eastAsia"/>
                <w:b/>
                <w:bCs/>
                <w:color w:val="auto"/>
                <w:kern w:val="0"/>
                <w:sz w:val="22"/>
                <w:szCs w:val="22"/>
              </w:rPr>
              <w:t>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416" w:type="dxa"/>
            <w:shd w:val="clear" w:color="auto" w:fill="FFFFFF"/>
            <w:vAlign w:val="center"/>
          </w:tcPr>
          <w:p>
            <w:pPr>
              <w:widowControl/>
              <w:jc w:val="center"/>
              <w:rPr>
                <w:b/>
                <w:bCs/>
                <w:color w:val="auto"/>
                <w:kern w:val="0"/>
                <w:sz w:val="22"/>
                <w:szCs w:val="22"/>
              </w:rPr>
            </w:pPr>
            <w:r>
              <w:rPr>
                <w:b/>
                <w:bCs/>
                <w:color w:val="auto"/>
                <w:kern w:val="0"/>
                <w:sz w:val="22"/>
                <w:szCs w:val="22"/>
              </w:rPr>
              <w:t>CH2.1</w:t>
            </w:r>
          </w:p>
        </w:tc>
        <w:tc>
          <w:tcPr>
            <w:tcW w:w="2548" w:type="dxa"/>
            <w:shd w:val="clear" w:color="auto" w:fill="FFFFFF"/>
            <w:vAlign w:val="center"/>
          </w:tcPr>
          <w:p>
            <w:pPr>
              <w:widowControl/>
              <w:jc w:val="left"/>
              <w:rPr>
                <w:color w:val="auto"/>
                <w:kern w:val="0"/>
                <w:sz w:val="22"/>
                <w:szCs w:val="22"/>
              </w:rPr>
            </w:pPr>
            <w:r>
              <w:rPr>
                <w:color w:val="auto"/>
                <w:kern w:val="0"/>
                <w:sz w:val="22"/>
                <w:szCs w:val="22"/>
              </w:rPr>
              <w:t>章节目录</w:t>
            </w:r>
          </w:p>
        </w:tc>
        <w:tc>
          <w:tcPr>
            <w:tcW w:w="709" w:type="dxa"/>
            <w:shd w:val="clear" w:color="auto" w:fill="FFFFFF"/>
            <w:vAlign w:val="center"/>
          </w:tcPr>
          <w:p>
            <w:pPr>
              <w:widowControl/>
              <w:jc w:val="center"/>
              <w:rPr>
                <w:color w:val="auto"/>
                <w:kern w:val="0"/>
                <w:sz w:val="22"/>
                <w:szCs w:val="22"/>
              </w:rPr>
            </w:pPr>
            <w:r>
              <w:rPr>
                <w:color w:val="auto"/>
                <w:kern w:val="0"/>
                <w:sz w:val="22"/>
                <w:szCs w:val="22"/>
              </w:rPr>
              <w:t>R</w:t>
            </w:r>
          </w:p>
        </w:tc>
        <w:tc>
          <w:tcPr>
            <w:tcW w:w="4933" w:type="dxa"/>
            <w:shd w:val="clear" w:color="auto" w:fill="FFFFFF"/>
            <w:vAlign w:val="center"/>
          </w:tcPr>
          <w:p>
            <w:pPr>
              <w:spacing w:line="400" w:lineRule="exact"/>
              <w:jc w:val="left"/>
              <w:rPr>
                <w:color w:val="auto"/>
                <w:kern w:val="0"/>
                <w:sz w:val="22"/>
                <w:szCs w:val="22"/>
              </w:rPr>
            </w:pPr>
            <w:r>
              <w:rPr>
                <w:rFonts w:hint="eastAsia"/>
                <w:color w:val="auto"/>
                <w:kern w:val="0"/>
                <w:sz w:val="22"/>
                <w:szCs w:val="22"/>
              </w:rPr>
              <w:t>应当包括本章的所有标题和小标题，注明目录中各内容的页码。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416" w:type="dxa"/>
            <w:shd w:val="clear" w:color="auto" w:fill="FFFFFF"/>
            <w:vAlign w:val="center"/>
          </w:tcPr>
          <w:p>
            <w:pPr>
              <w:widowControl/>
              <w:jc w:val="center"/>
              <w:rPr>
                <w:b/>
                <w:bCs/>
                <w:color w:val="auto"/>
                <w:kern w:val="0"/>
                <w:sz w:val="22"/>
                <w:szCs w:val="22"/>
              </w:rPr>
            </w:pPr>
            <w:r>
              <w:rPr>
                <w:b/>
                <w:bCs/>
                <w:color w:val="auto"/>
                <w:kern w:val="0"/>
                <w:sz w:val="22"/>
                <w:szCs w:val="22"/>
              </w:rPr>
              <w:t>CH2.2</w:t>
            </w:r>
          </w:p>
        </w:tc>
        <w:tc>
          <w:tcPr>
            <w:tcW w:w="2548" w:type="dxa"/>
            <w:shd w:val="clear" w:color="auto" w:fill="FFFFFF"/>
            <w:vAlign w:val="center"/>
          </w:tcPr>
          <w:p>
            <w:pPr>
              <w:widowControl/>
              <w:jc w:val="left"/>
              <w:rPr>
                <w:color w:val="auto"/>
                <w:kern w:val="0"/>
                <w:sz w:val="22"/>
                <w:szCs w:val="22"/>
              </w:rPr>
            </w:pPr>
            <w:r>
              <w:rPr>
                <w:rFonts w:hint="eastAsia"/>
                <w:color w:val="auto"/>
                <w:kern w:val="0"/>
                <w:sz w:val="22"/>
                <w:szCs w:val="22"/>
              </w:rPr>
              <w:t>产品技术要求</w:t>
            </w:r>
          </w:p>
        </w:tc>
        <w:tc>
          <w:tcPr>
            <w:tcW w:w="709" w:type="dxa"/>
            <w:shd w:val="clear" w:color="auto" w:fill="FFFFFF"/>
            <w:vAlign w:val="center"/>
          </w:tcPr>
          <w:p>
            <w:pPr>
              <w:widowControl/>
              <w:jc w:val="center"/>
              <w:rPr>
                <w:color w:val="auto"/>
                <w:kern w:val="0"/>
                <w:sz w:val="22"/>
                <w:szCs w:val="22"/>
              </w:rPr>
            </w:pPr>
            <w:r>
              <w:rPr>
                <w:rFonts w:hint="eastAsia"/>
                <w:color w:val="auto"/>
                <w:kern w:val="0"/>
                <w:sz w:val="22"/>
                <w:szCs w:val="22"/>
              </w:rPr>
              <w:t>C</w:t>
            </w:r>
            <w:r>
              <w:rPr>
                <w:color w:val="auto"/>
                <w:kern w:val="0"/>
                <w:sz w:val="22"/>
                <w:szCs w:val="22"/>
              </w:rPr>
              <w:t>R</w:t>
            </w:r>
          </w:p>
        </w:tc>
        <w:tc>
          <w:tcPr>
            <w:tcW w:w="4933" w:type="dxa"/>
            <w:shd w:val="clear" w:color="auto" w:fill="FFFFFF"/>
            <w:vAlign w:val="center"/>
          </w:tcPr>
          <w:p>
            <w:pPr>
              <w:widowControl/>
              <w:jc w:val="left"/>
              <w:rPr>
                <w:color w:val="auto"/>
                <w:kern w:val="0"/>
                <w:sz w:val="22"/>
                <w:szCs w:val="22"/>
              </w:rPr>
            </w:pPr>
            <w:r>
              <w:rPr>
                <w:rFonts w:hint="eastAsia"/>
                <w:color w:val="auto"/>
                <w:kern w:val="0"/>
                <w:sz w:val="22"/>
                <w:szCs w:val="22"/>
              </w:rPr>
              <w:t>1.</w:t>
            </w:r>
            <w:r>
              <w:rPr>
                <w:color w:val="auto"/>
                <w:kern w:val="0"/>
                <w:sz w:val="22"/>
                <w:szCs w:val="22"/>
              </w:rPr>
              <w:t>如在原医疗器械注册证有效期内发生了涉及产品技术要求变更的，应当提交依据变更注册（备案）文件</w:t>
            </w:r>
            <w:r>
              <w:rPr>
                <w:rFonts w:hint="eastAsia"/>
                <w:color w:val="auto"/>
                <w:kern w:val="0"/>
                <w:sz w:val="22"/>
                <w:szCs w:val="22"/>
              </w:rPr>
              <w:t>进行</w:t>
            </w:r>
            <w:r>
              <w:rPr>
                <w:color w:val="auto"/>
                <w:kern w:val="0"/>
                <w:sz w:val="22"/>
                <w:szCs w:val="22"/>
              </w:rPr>
              <w:t>修改的产品技术要求</w:t>
            </w:r>
            <w:r>
              <w:rPr>
                <w:rFonts w:hint="eastAsia"/>
                <w:color w:val="auto"/>
                <w:kern w:val="0"/>
                <w:sz w:val="22"/>
                <w:szCs w:val="22"/>
              </w:rPr>
              <w:t>说明及</w:t>
            </w:r>
            <w:r>
              <w:rPr>
                <w:color w:val="auto"/>
                <w:kern w:val="0"/>
                <w:sz w:val="22"/>
                <w:szCs w:val="22"/>
              </w:rPr>
              <w:t>依据变更注册（备案）文件</w:t>
            </w:r>
            <w:r>
              <w:rPr>
                <w:rFonts w:hint="eastAsia"/>
                <w:color w:val="auto"/>
                <w:kern w:val="0"/>
                <w:sz w:val="22"/>
                <w:szCs w:val="22"/>
              </w:rPr>
              <w:t>进行</w:t>
            </w:r>
            <w:r>
              <w:rPr>
                <w:color w:val="auto"/>
                <w:kern w:val="0"/>
                <w:sz w:val="22"/>
                <w:szCs w:val="22"/>
              </w:rPr>
              <w:t>修改的产品技术要求。</w:t>
            </w:r>
          </w:p>
          <w:p>
            <w:pPr>
              <w:widowControl/>
              <w:jc w:val="left"/>
              <w:rPr>
                <w:color w:val="auto"/>
                <w:kern w:val="0"/>
                <w:sz w:val="22"/>
                <w:szCs w:val="22"/>
              </w:rPr>
            </w:pPr>
            <w:r>
              <w:rPr>
                <w:rFonts w:hint="eastAsia"/>
                <w:color w:val="auto"/>
                <w:kern w:val="0"/>
                <w:sz w:val="22"/>
                <w:szCs w:val="22"/>
              </w:rPr>
              <w:t>2.</w:t>
            </w:r>
            <w:r>
              <w:rPr>
                <w:color w:val="auto"/>
                <w:kern w:val="0"/>
                <w:sz w:val="22"/>
                <w:szCs w:val="22"/>
              </w:rPr>
              <w:t>在原医疗器械注册证有效期内</w:t>
            </w:r>
            <w:r>
              <w:rPr>
                <w:rFonts w:hint="eastAsia"/>
                <w:color w:val="auto"/>
                <w:kern w:val="0"/>
                <w:sz w:val="22"/>
                <w:szCs w:val="22"/>
              </w:rPr>
              <w:t>产品技术要求</w:t>
            </w:r>
            <w:r>
              <w:rPr>
                <w:color w:val="auto"/>
                <w:kern w:val="0"/>
                <w:sz w:val="22"/>
                <w:szCs w:val="22"/>
              </w:rPr>
              <w:t>发生</w:t>
            </w:r>
            <w:r>
              <w:rPr>
                <w:rFonts w:hint="eastAsia"/>
                <w:color w:val="auto"/>
                <w:kern w:val="0"/>
                <w:sz w:val="22"/>
                <w:szCs w:val="22"/>
              </w:rPr>
              <w:t>变化提交新的产品技术要求的企业需提交产品技术要求一致性声明。</w:t>
            </w:r>
          </w:p>
          <w:p>
            <w:pPr>
              <w:widowControl/>
              <w:jc w:val="left"/>
              <w:rPr>
                <w:strike/>
                <w:color w:val="auto"/>
                <w:kern w:val="0"/>
                <w:sz w:val="22"/>
                <w:szCs w:val="22"/>
              </w:rPr>
            </w:pPr>
            <w:r>
              <w:rPr>
                <w:rFonts w:hint="eastAsia"/>
                <w:color w:val="auto"/>
                <w:kern w:val="0"/>
                <w:sz w:val="22"/>
                <w:szCs w:val="22"/>
              </w:rPr>
              <w:t>3.无任何变更情况可不用提交其资料的进行无变化说明。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416" w:type="dxa"/>
            <w:shd w:val="clear" w:color="auto" w:fill="FFFFFF"/>
            <w:vAlign w:val="center"/>
          </w:tcPr>
          <w:p>
            <w:pPr>
              <w:widowControl/>
              <w:jc w:val="center"/>
              <w:rPr>
                <w:b/>
                <w:bCs/>
                <w:color w:val="auto"/>
                <w:kern w:val="0"/>
                <w:sz w:val="22"/>
                <w:szCs w:val="22"/>
              </w:rPr>
            </w:pPr>
            <w:r>
              <w:rPr>
                <w:b/>
                <w:bCs/>
                <w:color w:val="auto"/>
                <w:kern w:val="0"/>
                <w:sz w:val="22"/>
                <w:szCs w:val="22"/>
              </w:rPr>
              <w:t>CH2.3</w:t>
            </w:r>
          </w:p>
        </w:tc>
        <w:tc>
          <w:tcPr>
            <w:tcW w:w="2548" w:type="dxa"/>
            <w:shd w:val="clear" w:color="auto" w:fill="FFFFFF"/>
            <w:vAlign w:val="center"/>
          </w:tcPr>
          <w:p>
            <w:pPr>
              <w:widowControl/>
              <w:jc w:val="left"/>
              <w:rPr>
                <w:color w:val="auto"/>
                <w:kern w:val="0"/>
                <w:sz w:val="22"/>
                <w:szCs w:val="22"/>
              </w:rPr>
            </w:pPr>
            <w:r>
              <w:rPr>
                <w:rFonts w:hint="eastAsia"/>
                <w:color w:val="auto"/>
                <w:kern w:val="0"/>
                <w:sz w:val="22"/>
                <w:szCs w:val="22"/>
              </w:rPr>
              <w:t>其他资料</w:t>
            </w:r>
          </w:p>
        </w:tc>
        <w:tc>
          <w:tcPr>
            <w:tcW w:w="709" w:type="dxa"/>
            <w:shd w:val="clear" w:color="auto" w:fill="FFFFFF"/>
            <w:vAlign w:val="center"/>
          </w:tcPr>
          <w:p>
            <w:pPr>
              <w:widowControl/>
              <w:jc w:val="center"/>
              <w:rPr>
                <w:color w:val="auto"/>
                <w:kern w:val="0"/>
                <w:sz w:val="22"/>
                <w:szCs w:val="22"/>
              </w:rPr>
            </w:pPr>
            <w:r>
              <w:rPr>
                <w:rFonts w:hint="eastAsia"/>
                <w:color w:val="auto"/>
                <w:kern w:val="0"/>
                <w:sz w:val="22"/>
                <w:szCs w:val="22"/>
              </w:rPr>
              <w:t>C</w:t>
            </w:r>
            <w:r>
              <w:rPr>
                <w:color w:val="auto"/>
                <w:kern w:val="0"/>
                <w:sz w:val="22"/>
                <w:szCs w:val="22"/>
              </w:rPr>
              <w:t>R</w:t>
            </w:r>
          </w:p>
        </w:tc>
        <w:tc>
          <w:tcPr>
            <w:tcW w:w="4933" w:type="dxa"/>
            <w:shd w:val="clear" w:color="auto" w:fill="FFFFFF"/>
            <w:vAlign w:val="center"/>
          </w:tcPr>
          <w:p>
            <w:pPr>
              <w:widowControl/>
              <w:jc w:val="left"/>
              <w:rPr>
                <w:color w:val="auto"/>
                <w:kern w:val="0"/>
                <w:sz w:val="22"/>
                <w:szCs w:val="22"/>
              </w:rPr>
            </w:pPr>
            <w:r>
              <w:rPr>
                <w:rFonts w:hint="eastAsia"/>
                <w:color w:val="auto"/>
                <w:kern w:val="0"/>
                <w:sz w:val="22"/>
                <w:szCs w:val="22"/>
              </w:rPr>
              <w:t>原医疗器械注册证中载明要求继续完成的事项，涉及非临床研究的，应当提供相关总结报告，并附相应资料。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27" w:hRule="atLeast"/>
          <w:jc w:val="center"/>
        </w:trPr>
        <w:tc>
          <w:tcPr>
            <w:tcW w:w="9606" w:type="dxa"/>
            <w:gridSpan w:val="4"/>
            <w:shd w:val="clear" w:color="auto" w:fill="FFFFFF"/>
            <w:vAlign w:val="center"/>
          </w:tcPr>
          <w:p>
            <w:pPr>
              <w:widowControl/>
              <w:jc w:val="center"/>
              <w:rPr>
                <w:b/>
                <w:bCs/>
                <w:color w:val="auto"/>
                <w:kern w:val="0"/>
                <w:sz w:val="22"/>
                <w:szCs w:val="22"/>
              </w:rPr>
            </w:pPr>
            <w:r>
              <w:rPr>
                <w:b/>
                <w:bCs/>
                <w:color w:val="auto"/>
                <w:kern w:val="0"/>
                <w:sz w:val="22"/>
                <w:szCs w:val="22"/>
              </w:rPr>
              <w:t>第3章——</w:t>
            </w:r>
            <w:r>
              <w:rPr>
                <w:rFonts w:hint="eastAsia"/>
                <w:b/>
                <w:bCs/>
                <w:color w:val="auto"/>
                <w:kern w:val="0"/>
                <w:sz w:val="22"/>
                <w:szCs w:val="22"/>
              </w:rPr>
              <w:t>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1416" w:type="dxa"/>
            <w:shd w:val="clear" w:color="auto" w:fill="FFFFFF"/>
            <w:vAlign w:val="center"/>
          </w:tcPr>
          <w:p>
            <w:pPr>
              <w:widowControl/>
              <w:jc w:val="center"/>
              <w:rPr>
                <w:b/>
                <w:bCs/>
                <w:color w:val="auto"/>
                <w:kern w:val="0"/>
                <w:sz w:val="22"/>
                <w:szCs w:val="22"/>
              </w:rPr>
            </w:pPr>
            <w:r>
              <w:rPr>
                <w:b/>
                <w:bCs/>
                <w:color w:val="auto"/>
                <w:kern w:val="0"/>
                <w:sz w:val="22"/>
                <w:szCs w:val="22"/>
              </w:rPr>
              <w:t>CH3.1</w:t>
            </w:r>
          </w:p>
        </w:tc>
        <w:tc>
          <w:tcPr>
            <w:tcW w:w="2548" w:type="dxa"/>
            <w:shd w:val="clear" w:color="auto" w:fill="FFFFFF"/>
            <w:vAlign w:val="center"/>
          </w:tcPr>
          <w:p>
            <w:pPr>
              <w:widowControl/>
              <w:jc w:val="left"/>
              <w:rPr>
                <w:color w:val="auto"/>
                <w:kern w:val="0"/>
                <w:sz w:val="22"/>
                <w:szCs w:val="22"/>
              </w:rPr>
            </w:pPr>
            <w:r>
              <w:rPr>
                <w:rFonts w:hint="eastAsia"/>
                <w:color w:val="auto"/>
                <w:kern w:val="0"/>
                <w:sz w:val="22"/>
                <w:szCs w:val="22"/>
              </w:rPr>
              <w:t>临床评价资料</w:t>
            </w:r>
          </w:p>
        </w:tc>
        <w:tc>
          <w:tcPr>
            <w:tcW w:w="709" w:type="dxa"/>
            <w:shd w:val="clear" w:color="auto" w:fill="FFFFFF"/>
            <w:vAlign w:val="center"/>
          </w:tcPr>
          <w:p>
            <w:pPr>
              <w:widowControl/>
              <w:jc w:val="center"/>
              <w:rPr>
                <w:color w:val="auto"/>
                <w:kern w:val="0"/>
                <w:sz w:val="22"/>
                <w:szCs w:val="22"/>
              </w:rPr>
            </w:pPr>
            <w:r>
              <w:rPr>
                <w:color w:val="auto"/>
                <w:kern w:val="0"/>
                <w:sz w:val="22"/>
                <w:szCs w:val="22"/>
              </w:rPr>
              <w:t>CR</w:t>
            </w:r>
          </w:p>
        </w:tc>
        <w:tc>
          <w:tcPr>
            <w:tcW w:w="4933" w:type="dxa"/>
            <w:shd w:val="clear" w:color="auto" w:fill="FFFFFF"/>
            <w:vAlign w:val="center"/>
          </w:tcPr>
          <w:p>
            <w:pPr>
              <w:widowControl/>
              <w:jc w:val="left"/>
              <w:rPr>
                <w:color w:val="auto"/>
                <w:kern w:val="0"/>
                <w:sz w:val="22"/>
                <w:szCs w:val="22"/>
              </w:rPr>
            </w:pPr>
            <w:r>
              <w:rPr>
                <w:rFonts w:hint="eastAsia"/>
                <w:color w:val="auto"/>
                <w:kern w:val="0"/>
                <w:sz w:val="22"/>
                <w:szCs w:val="22"/>
              </w:rPr>
              <w:t>原医疗器械注册证中载明要求继续完成的事项，涉及临床评价的，应当提供相关总结报告，并附相应资料。</w:t>
            </w:r>
          </w:p>
        </w:tc>
      </w:tr>
    </w:tbl>
    <w:p>
      <w:pPr>
        <w:jc w:val="left"/>
        <w:rPr>
          <w:color w:val="auto"/>
        </w:rPr>
      </w:pPr>
    </w:p>
    <w:p>
      <w:pPr>
        <w:jc w:val="left"/>
        <w:rPr>
          <w:color w:val="auto"/>
        </w:rPr>
      </w:pPr>
      <w:r>
        <w:rPr>
          <w:rFonts w:hint="eastAsia"/>
          <w:b/>
          <w:color w:val="auto"/>
          <w:sz w:val="28"/>
          <w:szCs w:val="28"/>
        </w:rPr>
        <w:t>说明：R----必传      NR----不必传      CR----选传</w:t>
      </w:r>
    </w:p>
    <w:p>
      <w:pPr>
        <w:keepNext/>
        <w:keepLines/>
        <w:pageBreakBefore w:val="0"/>
        <w:widowControl w:val="0"/>
        <w:kinsoku/>
        <w:wordWrap/>
        <w:overflowPunct/>
        <w:topLinePunct w:val="0"/>
        <w:autoSpaceDE/>
        <w:autoSpaceDN/>
        <w:bidi w:val="0"/>
        <w:adjustRightInd/>
        <w:snapToGrid/>
        <w:spacing w:line="400" w:lineRule="exact"/>
        <w:jc w:val="left"/>
        <w:textAlignment w:val="auto"/>
        <w:outlineLvl w:val="0"/>
        <w:rPr>
          <w:rFonts w:eastAsia="黑体"/>
          <w:bCs/>
          <w:color w:val="auto"/>
          <w:kern w:val="44"/>
          <w:sz w:val="32"/>
          <w:szCs w:val="44"/>
          <w:lang w:val="zh-CN"/>
        </w:rPr>
      </w:pPr>
      <w:r>
        <w:rPr>
          <w:rFonts w:eastAsia="黑体"/>
          <w:bCs/>
          <w:color w:val="auto"/>
          <w:kern w:val="44"/>
          <w:sz w:val="32"/>
          <w:szCs w:val="44"/>
          <w:lang w:val="zh-CN"/>
        </w:rPr>
        <w:br w:type="page"/>
      </w:r>
      <w:bookmarkStart w:id="0" w:name="YinFaRiQiΩ1"/>
      <w:bookmarkEnd w:id="0"/>
      <w:bookmarkStart w:id="1" w:name="word_number_fieldΩ1"/>
      <w:bookmarkEnd w:id="1"/>
      <w:bookmarkStart w:id="2" w:name="QianFaShiJianΩ1"/>
      <w:bookmarkEnd w:id="2"/>
      <w:r>
        <w:rPr>
          <w:rFonts w:hint="eastAsia" w:eastAsia="黑体"/>
          <w:bCs/>
          <w:color w:val="auto"/>
          <w:kern w:val="44"/>
          <w:sz w:val="32"/>
          <w:szCs w:val="44"/>
          <w:lang w:val="zh-CN"/>
        </w:rPr>
        <w:t>六</w:t>
      </w:r>
      <w:r>
        <w:rPr>
          <w:rFonts w:eastAsia="黑体"/>
          <w:bCs/>
          <w:color w:val="auto"/>
          <w:kern w:val="44"/>
          <w:sz w:val="32"/>
          <w:szCs w:val="44"/>
          <w:lang w:val="zh-CN"/>
        </w:rPr>
        <w:t>、</w:t>
      </w:r>
      <w:r>
        <w:rPr>
          <w:rFonts w:hint="eastAsia" w:eastAsia="黑体"/>
          <w:bCs/>
          <w:color w:val="auto"/>
          <w:kern w:val="44"/>
          <w:sz w:val="32"/>
          <w:szCs w:val="44"/>
          <w:lang w:val="zh-CN"/>
        </w:rPr>
        <w:t>湖南省</w:t>
      </w:r>
      <w:r>
        <w:rPr>
          <w:rFonts w:eastAsia="黑体"/>
          <w:bCs/>
          <w:color w:val="auto"/>
          <w:kern w:val="44"/>
          <w:sz w:val="32"/>
          <w:szCs w:val="44"/>
          <w:lang w:val="zh-CN"/>
        </w:rPr>
        <w:t>第二类体外诊断试剂延续注册申报资料电子目录</w:t>
      </w:r>
    </w:p>
    <w:tbl>
      <w:tblPr>
        <w:tblStyle w:val="11"/>
        <w:tblW w:w="97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94"/>
        <w:gridCol w:w="2013"/>
        <w:gridCol w:w="816"/>
        <w:gridCol w:w="5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37" w:hRule="atLeast"/>
          <w:tblHeader/>
          <w:jc w:val="center"/>
        </w:trPr>
        <w:tc>
          <w:tcPr>
            <w:tcW w:w="994" w:type="dxa"/>
            <w:shd w:val="clear" w:color="auto" w:fill="FFFFFF"/>
            <w:vAlign w:val="center"/>
          </w:tcPr>
          <w:p>
            <w:pPr>
              <w:widowControl/>
              <w:jc w:val="center"/>
              <w:rPr>
                <w:rFonts w:eastAsia="黑体"/>
                <w:bCs/>
                <w:color w:val="auto"/>
                <w:kern w:val="0"/>
                <w:sz w:val="22"/>
                <w:szCs w:val="22"/>
              </w:rPr>
            </w:pPr>
            <w:r>
              <w:rPr>
                <w:rFonts w:eastAsia="黑体"/>
                <w:bCs/>
                <w:color w:val="auto"/>
                <w:kern w:val="0"/>
                <w:sz w:val="22"/>
                <w:szCs w:val="22"/>
              </w:rPr>
              <w:t>RPS</w:t>
            </w:r>
          </w:p>
          <w:p>
            <w:pPr>
              <w:widowControl/>
              <w:jc w:val="center"/>
              <w:rPr>
                <w:rFonts w:eastAsia="黑体"/>
                <w:bCs/>
                <w:color w:val="auto"/>
                <w:kern w:val="0"/>
                <w:sz w:val="22"/>
                <w:szCs w:val="22"/>
              </w:rPr>
            </w:pPr>
            <w:r>
              <w:rPr>
                <w:rFonts w:eastAsia="黑体"/>
                <w:bCs/>
                <w:color w:val="auto"/>
                <w:kern w:val="0"/>
                <w:sz w:val="22"/>
                <w:szCs w:val="22"/>
              </w:rPr>
              <w:t>目录</w:t>
            </w:r>
          </w:p>
        </w:tc>
        <w:tc>
          <w:tcPr>
            <w:tcW w:w="2013" w:type="dxa"/>
            <w:shd w:val="clear" w:color="auto" w:fill="FFFFFF"/>
            <w:vAlign w:val="center"/>
          </w:tcPr>
          <w:p>
            <w:pPr>
              <w:widowControl/>
              <w:jc w:val="center"/>
              <w:rPr>
                <w:rFonts w:eastAsia="黑体"/>
                <w:bCs/>
                <w:color w:val="auto"/>
                <w:kern w:val="0"/>
                <w:sz w:val="22"/>
                <w:szCs w:val="22"/>
              </w:rPr>
            </w:pPr>
            <w:r>
              <w:rPr>
                <w:rFonts w:eastAsia="黑体"/>
                <w:bCs/>
                <w:color w:val="auto"/>
                <w:kern w:val="0"/>
                <w:sz w:val="22"/>
                <w:szCs w:val="22"/>
              </w:rPr>
              <w:t>标题</w:t>
            </w:r>
          </w:p>
        </w:tc>
        <w:tc>
          <w:tcPr>
            <w:tcW w:w="816" w:type="dxa"/>
            <w:shd w:val="clear" w:color="auto" w:fill="FFFFFF"/>
            <w:vAlign w:val="center"/>
          </w:tcPr>
          <w:p>
            <w:pPr>
              <w:widowControl/>
              <w:jc w:val="center"/>
              <w:rPr>
                <w:rFonts w:eastAsia="黑体"/>
                <w:bCs/>
                <w:color w:val="auto"/>
                <w:kern w:val="0"/>
                <w:sz w:val="22"/>
                <w:szCs w:val="22"/>
              </w:rPr>
            </w:pPr>
            <w:r>
              <w:rPr>
                <w:rFonts w:eastAsia="黑体"/>
                <w:bCs/>
                <w:color w:val="auto"/>
                <w:kern w:val="0"/>
                <w:sz w:val="22"/>
                <w:szCs w:val="22"/>
              </w:rPr>
              <w:t>适用情况</w:t>
            </w:r>
          </w:p>
        </w:tc>
        <w:tc>
          <w:tcPr>
            <w:tcW w:w="5881" w:type="dxa"/>
            <w:shd w:val="clear" w:color="auto" w:fill="FFFFFF"/>
            <w:vAlign w:val="center"/>
          </w:tcPr>
          <w:p>
            <w:pPr>
              <w:widowControl/>
              <w:jc w:val="center"/>
              <w:rPr>
                <w:rFonts w:eastAsia="黑体"/>
                <w:bCs/>
                <w:color w:val="auto"/>
                <w:kern w:val="0"/>
                <w:sz w:val="22"/>
                <w:szCs w:val="22"/>
              </w:rPr>
            </w:pPr>
            <w:r>
              <w:rPr>
                <w:rFonts w:eastAsia="黑体"/>
                <w:bCs/>
                <w:color w:val="auto"/>
                <w:kern w:val="0"/>
                <w:sz w:val="22"/>
                <w:szCs w:val="22"/>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30" w:hRule="atLeast"/>
          <w:jc w:val="center"/>
        </w:trPr>
        <w:tc>
          <w:tcPr>
            <w:tcW w:w="9704" w:type="dxa"/>
            <w:gridSpan w:val="4"/>
            <w:shd w:val="clear" w:color="auto" w:fill="FFFFFF"/>
            <w:vAlign w:val="center"/>
          </w:tcPr>
          <w:p>
            <w:pPr>
              <w:widowControl/>
              <w:jc w:val="center"/>
              <w:rPr>
                <w:color w:val="auto"/>
                <w:kern w:val="0"/>
                <w:sz w:val="22"/>
                <w:szCs w:val="22"/>
              </w:rPr>
            </w:pPr>
            <w:r>
              <w:rPr>
                <w:b/>
                <w:bCs/>
                <w:color w:val="auto"/>
                <w:kern w:val="0"/>
                <w:sz w:val="22"/>
                <w:szCs w:val="22"/>
              </w:rPr>
              <w:t>第1章——</w:t>
            </w:r>
            <w:r>
              <w:rPr>
                <w:rFonts w:hint="eastAsia"/>
                <w:b/>
                <w:bCs/>
                <w:color w:val="auto"/>
                <w:kern w:val="0"/>
                <w:sz w:val="22"/>
                <w:szCs w:val="22"/>
              </w:rPr>
              <w:t>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1024" w:hRule="atLeast"/>
          <w:jc w:val="center"/>
        </w:trPr>
        <w:tc>
          <w:tcPr>
            <w:tcW w:w="994" w:type="dxa"/>
            <w:shd w:val="clear" w:color="auto" w:fill="FFFFFF"/>
            <w:vAlign w:val="center"/>
          </w:tcPr>
          <w:p>
            <w:pPr>
              <w:widowControl/>
              <w:jc w:val="center"/>
              <w:rPr>
                <w:b/>
                <w:bCs/>
                <w:color w:val="auto"/>
                <w:kern w:val="0"/>
                <w:sz w:val="22"/>
                <w:szCs w:val="22"/>
              </w:rPr>
            </w:pPr>
            <w:r>
              <w:rPr>
                <w:b/>
                <w:bCs/>
                <w:color w:val="auto"/>
                <w:kern w:val="0"/>
                <w:sz w:val="22"/>
                <w:szCs w:val="22"/>
              </w:rPr>
              <w:t>CH1.1</w:t>
            </w:r>
          </w:p>
        </w:tc>
        <w:tc>
          <w:tcPr>
            <w:tcW w:w="2013" w:type="dxa"/>
            <w:shd w:val="clear" w:color="auto" w:fill="FFFFFF"/>
            <w:vAlign w:val="center"/>
          </w:tcPr>
          <w:p>
            <w:pPr>
              <w:widowControl/>
              <w:jc w:val="left"/>
              <w:rPr>
                <w:color w:val="auto"/>
                <w:kern w:val="0"/>
                <w:sz w:val="22"/>
                <w:szCs w:val="22"/>
              </w:rPr>
            </w:pPr>
            <w:r>
              <w:rPr>
                <w:rFonts w:hint="eastAsia"/>
                <w:color w:val="auto"/>
                <w:kern w:val="0"/>
                <w:sz w:val="22"/>
                <w:szCs w:val="22"/>
              </w:rPr>
              <w:t>章节目录</w:t>
            </w:r>
          </w:p>
        </w:tc>
        <w:tc>
          <w:tcPr>
            <w:tcW w:w="816" w:type="dxa"/>
            <w:shd w:val="clear" w:color="auto" w:fill="FFFFFF"/>
            <w:vAlign w:val="center"/>
          </w:tcPr>
          <w:p>
            <w:pPr>
              <w:widowControl/>
              <w:jc w:val="center"/>
              <w:rPr>
                <w:color w:val="auto"/>
                <w:kern w:val="0"/>
                <w:sz w:val="22"/>
                <w:szCs w:val="22"/>
              </w:rPr>
            </w:pPr>
            <w:r>
              <w:rPr>
                <w:color w:val="auto"/>
                <w:kern w:val="0"/>
                <w:sz w:val="22"/>
                <w:szCs w:val="22"/>
              </w:rPr>
              <w:t>R</w:t>
            </w:r>
          </w:p>
        </w:tc>
        <w:tc>
          <w:tcPr>
            <w:tcW w:w="5881" w:type="dxa"/>
            <w:shd w:val="clear" w:color="auto" w:fill="FFFFFF"/>
            <w:vAlign w:val="center"/>
          </w:tcPr>
          <w:p>
            <w:pPr>
              <w:widowControl/>
              <w:jc w:val="left"/>
              <w:rPr>
                <w:color w:val="auto"/>
                <w:kern w:val="0"/>
                <w:sz w:val="22"/>
                <w:szCs w:val="22"/>
              </w:rPr>
            </w:pPr>
            <w:r>
              <w:rPr>
                <w:rFonts w:hint="eastAsia"/>
                <w:color w:val="auto"/>
                <w:kern w:val="0"/>
                <w:sz w:val="22"/>
                <w:szCs w:val="22"/>
              </w:rPr>
              <w:t>应当包括本章的所有标题和小标题，注明目录中各内容的页码，一般以表格形式体现</w:t>
            </w:r>
            <w:r>
              <w:rPr>
                <w:color w:val="auto"/>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634" w:hRule="atLeast"/>
          <w:jc w:val="center"/>
        </w:trPr>
        <w:tc>
          <w:tcPr>
            <w:tcW w:w="994" w:type="dxa"/>
            <w:shd w:val="clear" w:color="auto" w:fill="FFFFFF"/>
            <w:vAlign w:val="center"/>
          </w:tcPr>
          <w:p>
            <w:pPr>
              <w:widowControl/>
              <w:jc w:val="center"/>
              <w:rPr>
                <w:b/>
                <w:bCs/>
                <w:color w:val="auto"/>
                <w:kern w:val="0"/>
                <w:sz w:val="22"/>
                <w:szCs w:val="22"/>
              </w:rPr>
            </w:pPr>
            <w:r>
              <w:rPr>
                <w:b/>
                <w:bCs/>
                <w:color w:val="auto"/>
                <w:kern w:val="0"/>
                <w:sz w:val="22"/>
                <w:szCs w:val="22"/>
              </w:rPr>
              <w:t>CH1.2</w:t>
            </w:r>
          </w:p>
        </w:tc>
        <w:tc>
          <w:tcPr>
            <w:tcW w:w="2013" w:type="dxa"/>
            <w:shd w:val="clear" w:color="auto" w:fill="FFFFFF"/>
            <w:vAlign w:val="center"/>
          </w:tcPr>
          <w:p>
            <w:pPr>
              <w:widowControl/>
              <w:jc w:val="left"/>
              <w:rPr>
                <w:color w:val="auto"/>
                <w:kern w:val="0"/>
                <w:sz w:val="22"/>
                <w:szCs w:val="22"/>
              </w:rPr>
            </w:pPr>
            <w:r>
              <w:rPr>
                <w:rFonts w:hint="eastAsia"/>
                <w:color w:val="auto"/>
                <w:kern w:val="0"/>
                <w:sz w:val="22"/>
                <w:szCs w:val="22"/>
              </w:rPr>
              <w:t>申请表</w:t>
            </w:r>
          </w:p>
        </w:tc>
        <w:tc>
          <w:tcPr>
            <w:tcW w:w="816" w:type="dxa"/>
            <w:shd w:val="clear" w:color="auto" w:fill="FFFFFF"/>
            <w:vAlign w:val="center"/>
          </w:tcPr>
          <w:p>
            <w:pPr>
              <w:widowControl/>
              <w:jc w:val="center"/>
              <w:rPr>
                <w:color w:val="auto"/>
                <w:kern w:val="0"/>
                <w:sz w:val="22"/>
                <w:szCs w:val="22"/>
              </w:rPr>
            </w:pPr>
            <w:r>
              <w:rPr>
                <w:color w:val="auto"/>
                <w:kern w:val="0"/>
                <w:sz w:val="22"/>
                <w:szCs w:val="22"/>
              </w:rPr>
              <w:t>R</w:t>
            </w:r>
          </w:p>
        </w:tc>
        <w:tc>
          <w:tcPr>
            <w:tcW w:w="5881" w:type="dxa"/>
            <w:shd w:val="clear" w:color="auto" w:fill="FFFFFF"/>
            <w:vAlign w:val="center"/>
          </w:tcPr>
          <w:p>
            <w:pPr>
              <w:keepNext w:val="0"/>
              <w:keepLines w:val="0"/>
              <w:pageBreakBefore w:val="0"/>
              <w:widowControl w:val="0"/>
              <w:kinsoku/>
              <w:wordWrap/>
              <w:overflowPunct/>
              <w:topLinePunct w:val="0"/>
              <w:autoSpaceDE/>
              <w:autoSpaceDN/>
              <w:bidi w:val="0"/>
              <w:adjustRightInd/>
              <w:snapToGrid/>
              <w:textAlignment w:val="auto"/>
              <w:outlineLvl w:val="9"/>
              <w:rPr>
                <w:color w:val="auto"/>
                <w:sz w:val="22"/>
                <w:szCs w:val="22"/>
              </w:rPr>
            </w:pPr>
            <w:r>
              <w:rPr>
                <w:color w:val="auto"/>
                <w:sz w:val="22"/>
                <w:szCs w:val="22"/>
              </w:rPr>
              <w:t>在省药品监督管理局医疗器械注册电子申报子系统中填写并加盖电子印章</w:t>
            </w:r>
            <w:r>
              <w:rPr>
                <w:rFonts w:hint="eastAsia"/>
                <w:color w:val="auto"/>
                <w:sz w:val="22"/>
                <w:szCs w:val="22"/>
              </w:rPr>
              <w:t>；样表可在政务服务旗舰店办事指南查看。</w:t>
            </w:r>
          </w:p>
          <w:p>
            <w:pPr>
              <w:widowControl/>
              <w:jc w:val="left"/>
              <w:rPr>
                <w:color w:val="auto"/>
                <w:kern w:val="0"/>
                <w:sz w:val="22"/>
                <w:szCs w:val="22"/>
              </w:rPr>
            </w:pPr>
            <w:r>
              <w:rPr>
                <w:rFonts w:hint="eastAsia"/>
                <w:color w:val="auto"/>
                <w:kern w:val="0"/>
                <w:sz w:val="22"/>
                <w:szCs w:val="22"/>
              </w:rPr>
              <w:t>1.企业提供的申请表信息与“国家企业信用信息公示系统”公示的信息一致，并显示企业处于存续状态；</w:t>
            </w:r>
          </w:p>
          <w:p>
            <w:pPr>
              <w:widowControl/>
              <w:jc w:val="left"/>
              <w:rPr>
                <w:rFonts w:hint="eastAsia" w:eastAsia="宋体"/>
                <w:color w:val="auto"/>
                <w:kern w:val="0"/>
                <w:sz w:val="22"/>
                <w:szCs w:val="22"/>
                <w:shd w:val="pct10" w:color="auto" w:fill="FFFFFF"/>
                <w:lang w:val="en-US" w:eastAsia="zh-CN"/>
              </w:rPr>
            </w:pPr>
            <w:r>
              <w:rPr>
                <w:rFonts w:hint="eastAsia"/>
                <w:color w:val="auto"/>
                <w:kern w:val="0"/>
                <w:sz w:val="22"/>
                <w:szCs w:val="22"/>
              </w:rPr>
              <w:t>2.申请表中分类编码属于医疗器械产品分类目录中二类产品，其产品名称应与原注册证或历次变更（备案）批件中产品名称一致</w:t>
            </w:r>
            <w:r>
              <w:rPr>
                <w:rFonts w:hint="eastAsia"/>
                <w:color w:val="auto"/>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140" w:hRule="atLeast"/>
          <w:jc w:val="center"/>
        </w:trPr>
        <w:tc>
          <w:tcPr>
            <w:tcW w:w="994" w:type="dxa"/>
            <w:shd w:val="clear" w:color="auto" w:fill="FFFFFF"/>
            <w:vAlign w:val="center"/>
          </w:tcPr>
          <w:p>
            <w:pPr>
              <w:widowControl/>
              <w:jc w:val="center"/>
              <w:rPr>
                <w:b/>
                <w:bCs/>
                <w:color w:val="auto"/>
                <w:kern w:val="0"/>
                <w:sz w:val="22"/>
                <w:szCs w:val="22"/>
              </w:rPr>
            </w:pPr>
            <w:r>
              <w:rPr>
                <w:b/>
                <w:bCs/>
                <w:color w:val="auto"/>
                <w:kern w:val="0"/>
                <w:sz w:val="22"/>
                <w:szCs w:val="22"/>
              </w:rPr>
              <w:t>CH1.3</w:t>
            </w:r>
          </w:p>
        </w:tc>
        <w:tc>
          <w:tcPr>
            <w:tcW w:w="2013" w:type="dxa"/>
            <w:shd w:val="clear" w:color="auto" w:fill="FFFFFF"/>
            <w:vAlign w:val="center"/>
          </w:tcPr>
          <w:p>
            <w:pPr>
              <w:widowControl/>
              <w:jc w:val="left"/>
              <w:rPr>
                <w:color w:val="auto"/>
                <w:kern w:val="0"/>
                <w:sz w:val="22"/>
                <w:szCs w:val="22"/>
              </w:rPr>
            </w:pPr>
            <w:r>
              <w:rPr>
                <w:rFonts w:hint="eastAsia"/>
                <w:color w:val="auto"/>
                <w:kern w:val="0"/>
                <w:sz w:val="22"/>
                <w:szCs w:val="22"/>
              </w:rPr>
              <w:t>关联文件</w:t>
            </w:r>
          </w:p>
        </w:tc>
        <w:tc>
          <w:tcPr>
            <w:tcW w:w="816" w:type="dxa"/>
            <w:shd w:val="clear" w:color="auto" w:fill="FFFFFF"/>
            <w:vAlign w:val="center"/>
          </w:tcPr>
          <w:p>
            <w:pPr>
              <w:widowControl/>
              <w:jc w:val="center"/>
              <w:rPr>
                <w:color w:val="auto"/>
                <w:kern w:val="0"/>
                <w:sz w:val="22"/>
                <w:szCs w:val="22"/>
              </w:rPr>
            </w:pPr>
            <w:r>
              <w:rPr>
                <w:color w:val="auto"/>
                <w:kern w:val="0"/>
                <w:sz w:val="22"/>
                <w:szCs w:val="22"/>
              </w:rPr>
              <w:t>R</w:t>
            </w:r>
          </w:p>
        </w:tc>
        <w:tc>
          <w:tcPr>
            <w:tcW w:w="5881" w:type="dxa"/>
            <w:shd w:val="clear" w:color="auto" w:fill="FFFFFF"/>
            <w:vAlign w:val="center"/>
          </w:tcPr>
          <w:p>
            <w:pPr>
              <w:widowControl/>
              <w:jc w:val="left"/>
              <w:rPr>
                <w:color w:val="auto"/>
                <w:kern w:val="0"/>
                <w:sz w:val="22"/>
                <w:szCs w:val="22"/>
              </w:rPr>
            </w:pPr>
            <w:r>
              <w:rPr>
                <w:rFonts w:hint="eastAsia"/>
                <w:color w:val="auto"/>
                <w:kern w:val="0"/>
                <w:sz w:val="22"/>
                <w:szCs w:val="22"/>
              </w:rPr>
              <w:t>1.有效期届满前6个月原</w:t>
            </w:r>
            <w:r>
              <w:rPr>
                <w:color w:val="auto"/>
                <w:kern w:val="0"/>
                <w:sz w:val="22"/>
                <w:szCs w:val="22"/>
              </w:rPr>
              <w:t>医疗器械注册证</w:t>
            </w:r>
            <w:r>
              <w:rPr>
                <w:rFonts w:hint="eastAsia"/>
                <w:color w:val="auto"/>
                <w:kern w:val="0"/>
                <w:sz w:val="22"/>
                <w:szCs w:val="22"/>
              </w:rPr>
              <w:t>、历次变更（备案）批件</w:t>
            </w:r>
            <w:r>
              <w:rPr>
                <w:color w:val="auto"/>
                <w:kern w:val="0"/>
                <w:sz w:val="22"/>
                <w:szCs w:val="22"/>
              </w:rPr>
              <w:t>应有“湖南省药品监督管理局医疗器械注册专用章”，产品技术要求</w:t>
            </w:r>
            <w:r>
              <w:rPr>
                <w:rFonts w:hint="eastAsia"/>
                <w:color w:val="auto"/>
                <w:kern w:val="0"/>
                <w:sz w:val="22"/>
                <w:szCs w:val="22"/>
              </w:rPr>
              <w:t>和历次变更注册的附件</w:t>
            </w:r>
            <w:r>
              <w:rPr>
                <w:color w:val="auto"/>
                <w:kern w:val="0"/>
                <w:sz w:val="22"/>
                <w:szCs w:val="22"/>
              </w:rPr>
              <w:t>应有“湖南省药品监督管理局医疗器械注册专用章”及“湖南省药品审评与不良反应监测中心业务专用章”；提供的</w:t>
            </w:r>
            <w:r>
              <w:rPr>
                <w:rFonts w:hint="eastAsia"/>
                <w:color w:val="auto"/>
                <w:kern w:val="0"/>
                <w:sz w:val="22"/>
                <w:szCs w:val="22"/>
              </w:rPr>
              <w:t>原医疗器械</w:t>
            </w:r>
            <w:r>
              <w:rPr>
                <w:color w:val="auto"/>
                <w:kern w:val="0"/>
                <w:sz w:val="22"/>
                <w:szCs w:val="22"/>
              </w:rPr>
              <w:t>注册证（产品名称、注册号、注册人）应与申请表信息一致。</w:t>
            </w:r>
          </w:p>
          <w:p>
            <w:pPr>
              <w:widowControl/>
              <w:jc w:val="left"/>
              <w:rPr>
                <w:color w:val="auto"/>
                <w:kern w:val="0"/>
                <w:sz w:val="22"/>
                <w:szCs w:val="22"/>
              </w:rPr>
            </w:pPr>
            <w:r>
              <w:rPr>
                <w:rFonts w:hint="eastAsia"/>
                <w:color w:val="auto"/>
                <w:kern w:val="0"/>
                <w:sz w:val="22"/>
                <w:szCs w:val="22"/>
              </w:rPr>
              <w:t>2.如医疗器械注册证有效期内有新的医疗器械强制性标准和/或国家标准品发布实施，已注册产品为符合新的强制性标准和/或国家标准品所做的变化属于应当办理变更注册的，注册人应当提交申请延续注册前已获得原审批部门批准的变更注册（备案）文件及其附件的复印件。已注册产品为符合新的强制性标准和/或国家标准品所做的变化属于无需办理变更注册手续或者无需变化即可符合新的强制性标准和/或国家标准品的，注册人应当提供情况说明和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2986" w:hRule="atLeast"/>
          <w:jc w:val="center"/>
        </w:trPr>
        <w:tc>
          <w:tcPr>
            <w:tcW w:w="994" w:type="dxa"/>
            <w:shd w:val="clear" w:color="auto" w:fill="FFFFFF"/>
            <w:vAlign w:val="center"/>
          </w:tcPr>
          <w:p>
            <w:pPr>
              <w:widowControl/>
              <w:jc w:val="center"/>
              <w:rPr>
                <w:b/>
                <w:bCs/>
                <w:color w:val="auto"/>
                <w:kern w:val="0"/>
                <w:sz w:val="22"/>
                <w:szCs w:val="22"/>
              </w:rPr>
            </w:pPr>
            <w:r>
              <w:rPr>
                <w:b/>
                <w:bCs/>
                <w:color w:val="auto"/>
                <w:kern w:val="0"/>
                <w:sz w:val="22"/>
                <w:szCs w:val="22"/>
              </w:rPr>
              <w:t>CH1.4</w:t>
            </w:r>
          </w:p>
        </w:tc>
        <w:tc>
          <w:tcPr>
            <w:tcW w:w="2013" w:type="dxa"/>
            <w:shd w:val="clear" w:color="auto" w:fill="FFFFFF"/>
            <w:vAlign w:val="center"/>
          </w:tcPr>
          <w:p>
            <w:pPr>
              <w:widowControl/>
              <w:jc w:val="left"/>
              <w:rPr>
                <w:color w:val="auto"/>
                <w:kern w:val="0"/>
                <w:sz w:val="22"/>
                <w:szCs w:val="22"/>
              </w:rPr>
            </w:pPr>
            <w:r>
              <w:rPr>
                <w:rFonts w:hint="eastAsia"/>
                <w:color w:val="auto"/>
                <w:kern w:val="0"/>
                <w:sz w:val="22"/>
                <w:szCs w:val="22"/>
              </w:rPr>
              <w:t>申报前与监管机构的联系情况和沟通记录</w:t>
            </w:r>
          </w:p>
        </w:tc>
        <w:tc>
          <w:tcPr>
            <w:tcW w:w="816" w:type="dxa"/>
            <w:shd w:val="clear" w:color="auto" w:fill="FFFFFF"/>
            <w:vAlign w:val="center"/>
          </w:tcPr>
          <w:p>
            <w:pPr>
              <w:widowControl/>
              <w:jc w:val="center"/>
              <w:rPr>
                <w:color w:val="auto"/>
                <w:kern w:val="0"/>
                <w:sz w:val="22"/>
                <w:szCs w:val="22"/>
              </w:rPr>
            </w:pPr>
            <w:r>
              <w:rPr>
                <w:color w:val="auto"/>
                <w:kern w:val="0"/>
                <w:sz w:val="22"/>
                <w:szCs w:val="22"/>
              </w:rPr>
              <w:t>R</w:t>
            </w:r>
          </w:p>
        </w:tc>
        <w:tc>
          <w:tcPr>
            <w:tcW w:w="5881" w:type="dxa"/>
            <w:shd w:val="clear" w:color="auto" w:fill="FFFFFF"/>
            <w:vAlign w:val="center"/>
          </w:tcPr>
          <w:p>
            <w:pPr>
              <w:widowControl/>
              <w:jc w:val="left"/>
              <w:rPr>
                <w:color w:val="auto"/>
                <w:kern w:val="0"/>
                <w:sz w:val="22"/>
                <w:szCs w:val="22"/>
              </w:rPr>
            </w:pPr>
            <w:r>
              <w:rPr>
                <w:rFonts w:hint="eastAsia"/>
                <w:color w:val="auto"/>
                <w:kern w:val="0"/>
                <w:sz w:val="22"/>
                <w:szCs w:val="22"/>
              </w:rPr>
              <w:t>1.在注册证有效期内，如果注册人与监管机构针对申报产品以会议形式进行了沟通，应当提供下列内容（如适用）：</w:t>
            </w:r>
          </w:p>
          <w:p>
            <w:pPr>
              <w:widowControl/>
              <w:jc w:val="left"/>
              <w:rPr>
                <w:color w:val="auto"/>
                <w:kern w:val="0"/>
                <w:sz w:val="22"/>
                <w:szCs w:val="22"/>
              </w:rPr>
            </w:pPr>
            <w:r>
              <w:rPr>
                <w:rFonts w:hint="eastAsia"/>
                <w:color w:val="auto"/>
                <w:kern w:val="0"/>
                <w:sz w:val="22"/>
                <w:szCs w:val="22"/>
              </w:rPr>
              <w:t>（1）列出监管机构回复的沟通情况。</w:t>
            </w:r>
          </w:p>
          <w:p>
            <w:pPr>
              <w:widowControl/>
              <w:jc w:val="left"/>
              <w:rPr>
                <w:color w:val="auto"/>
                <w:kern w:val="0"/>
                <w:sz w:val="22"/>
                <w:szCs w:val="22"/>
              </w:rPr>
            </w:pPr>
            <w:r>
              <w:rPr>
                <w:rFonts w:hint="eastAsia"/>
                <w:color w:val="auto"/>
                <w:kern w:val="0"/>
                <w:sz w:val="22"/>
                <w:szCs w:val="22"/>
              </w:rPr>
              <w:t>（2）在沟通中，注册人明确提出的问题，以及监管机构提供的建议。</w:t>
            </w:r>
          </w:p>
          <w:p>
            <w:pPr>
              <w:widowControl/>
              <w:jc w:val="left"/>
              <w:rPr>
                <w:color w:val="auto"/>
                <w:kern w:val="0"/>
                <w:sz w:val="22"/>
                <w:szCs w:val="22"/>
              </w:rPr>
            </w:pPr>
            <w:r>
              <w:rPr>
                <w:rFonts w:hint="eastAsia"/>
                <w:color w:val="auto"/>
                <w:kern w:val="0"/>
                <w:sz w:val="22"/>
                <w:szCs w:val="22"/>
              </w:rPr>
              <w:t>（3）说明在本次申报中如何解决上述问题。</w:t>
            </w:r>
          </w:p>
          <w:p>
            <w:pPr>
              <w:widowControl/>
              <w:jc w:val="left"/>
              <w:rPr>
                <w:color w:val="auto"/>
                <w:kern w:val="0"/>
                <w:sz w:val="22"/>
                <w:szCs w:val="22"/>
              </w:rPr>
            </w:pPr>
            <w:r>
              <w:rPr>
                <w:rFonts w:hint="eastAsia"/>
                <w:color w:val="auto"/>
                <w:kern w:val="0"/>
                <w:sz w:val="22"/>
                <w:szCs w:val="22"/>
              </w:rPr>
              <w:t>2.如不适用，应当明确声明申报产品在注册证有效期内没有既往申报和/或申报前沟通。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994" w:type="dxa"/>
            <w:shd w:val="clear" w:color="auto" w:fill="FFFFFF"/>
            <w:vAlign w:val="center"/>
          </w:tcPr>
          <w:p>
            <w:pPr>
              <w:widowControl/>
              <w:jc w:val="center"/>
              <w:rPr>
                <w:b/>
                <w:bCs/>
                <w:color w:val="auto"/>
                <w:kern w:val="0"/>
                <w:sz w:val="22"/>
                <w:szCs w:val="22"/>
              </w:rPr>
            </w:pPr>
            <w:r>
              <w:rPr>
                <w:b/>
                <w:bCs/>
                <w:color w:val="auto"/>
                <w:kern w:val="0"/>
                <w:sz w:val="22"/>
                <w:szCs w:val="22"/>
              </w:rPr>
              <w:t>CH1.5</w:t>
            </w:r>
          </w:p>
        </w:tc>
        <w:tc>
          <w:tcPr>
            <w:tcW w:w="2013" w:type="dxa"/>
            <w:shd w:val="clear" w:color="auto" w:fill="FFFFFF"/>
            <w:vAlign w:val="center"/>
          </w:tcPr>
          <w:p>
            <w:pPr>
              <w:widowControl/>
              <w:jc w:val="left"/>
              <w:rPr>
                <w:color w:val="auto"/>
                <w:kern w:val="0"/>
                <w:sz w:val="22"/>
                <w:szCs w:val="22"/>
              </w:rPr>
            </w:pPr>
            <w:r>
              <w:rPr>
                <w:rFonts w:hint="eastAsia"/>
                <w:color w:val="auto"/>
                <w:kern w:val="0"/>
                <w:sz w:val="22"/>
                <w:szCs w:val="22"/>
              </w:rPr>
              <w:t>符合性声明</w:t>
            </w:r>
          </w:p>
        </w:tc>
        <w:tc>
          <w:tcPr>
            <w:tcW w:w="816" w:type="dxa"/>
            <w:shd w:val="clear" w:color="auto" w:fill="FFFFFF"/>
            <w:vAlign w:val="center"/>
          </w:tcPr>
          <w:p>
            <w:pPr>
              <w:widowControl/>
              <w:jc w:val="center"/>
              <w:rPr>
                <w:color w:val="auto"/>
                <w:kern w:val="0"/>
                <w:sz w:val="22"/>
                <w:szCs w:val="22"/>
              </w:rPr>
            </w:pPr>
            <w:r>
              <w:rPr>
                <w:color w:val="auto"/>
                <w:kern w:val="0"/>
                <w:sz w:val="22"/>
                <w:szCs w:val="22"/>
              </w:rPr>
              <w:t>R</w:t>
            </w:r>
          </w:p>
        </w:tc>
        <w:tc>
          <w:tcPr>
            <w:tcW w:w="5881" w:type="dxa"/>
            <w:shd w:val="clear" w:color="auto" w:fill="FFFFFF"/>
            <w:vAlign w:val="center"/>
          </w:tcPr>
          <w:p>
            <w:pPr>
              <w:widowControl/>
              <w:jc w:val="left"/>
              <w:rPr>
                <w:color w:val="auto"/>
                <w:kern w:val="0"/>
                <w:sz w:val="22"/>
                <w:szCs w:val="22"/>
              </w:rPr>
            </w:pPr>
            <w:r>
              <w:rPr>
                <w:rFonts w:hint="eastAsia"/>
                <w:color w:val="auto"/>
                <w:kern w:val="0"/>
                <w:sz w:val="22"/>
                <w:szCs w:val="22"/>
              </w:rPr>
              <w:t>注册人应当声明下列内容：</w:t>
            </w:r>
          </w:p>
          <w:p>
            <w:pPr>
              <w:widowControl/>
              <w:jc w:val="left"/>
              <w:rPr>
                <w:color w:val="auto"/>
                <w:kern w:val="0"/>
                <w:sz w:val="22"/>
                <w:szCs w:val="22"/>
              </w:rPr>
            </w:pPr>
            <w:r>
              <w:rPr>
                <w:rFonts w:hint="eastAsia"/>
                <w:color w:val="auto"/>
                <w:kern w:val="0"/>
                <w:sz w:val="22"/>
                <w:szCs w:val="22"/>
              </w:rPr>
              <w:t>1.延续注册产品没有变化。如产品发生了注册证载明事项以外变化的，应当明确“产品所发生的变化通过质量管理体系进行控制，注册证载明事项无变化”。</w:t>
            </w:r>
          </w:p>
          <w:p>
            <w:pPr>
              <w:widowControl/>
              <w:jc w:val="left"/>
              <w:rPr>
                <w:color w:val="auto"/>
                <w:kern w:val="0"/>
                <w:sz w:val="22"/>
                <w:szCs w:val="22"/>
              </w:rPr>
            </w:pPr>
            <w:r>
              <w:rPr>
                <w:rFonts w:hint="eastAsia"/>
                <w:color w:val="auto"/>
                <w:kern w:val="0"/>
                <w:sz w:val="22"/>
                <w:szCs w:val="22"/>
              </w:rPr>
              <w:t>2.延续注册产品符合《体外诊断试剂注册与备案管理办法》和相关法规的要求。</w:t>
            </w:r>
          </w:p>
          <w:p>
            <w:pPr>
              <w:widowControl/>
              <w:jc w:val="left"/>
              <w:rPr>
                <w:color w:val="auto"/>
                <w:kern w:val="0"/>
                <w:sz w:val="22"/>
                <w:szCs w:val="22"/>
              </w:rPr>
            </w:pPr>
            <w:r>
              <w:rPr>
                <w:rFonts w:hint="eastAsia"/>
                <w:color w:val="auto"/>
                <w:kern w:val="0"/>
                <w:sz w:val="22"/>
                <w:szCs w:val="22"/>
              </w:rPr>
              <w:t>3.延续注册产品符合《体外诊断试剂分类规则》、《体外诊断试剂分类子目录》有关分类的要求。</w:t>
            </w:r>
          </w:p>
          <w:p>
            <w:pPr>
              <w:widowControl/>
              <w:jc w:val="left"/>
              <w:rPr>
                <w:color w:val="auto"/>
                <w:kern w:val="0"/>
                <w:sz w:val="22"/>
                <w:szCs w:val="22"/>
              </w:rPr>
            </w:pPr>
            <w:r>
              <w:rPr>
                <w:rFonts w:hint="eastAsia"/>
                <w:color w:val="auto"/>
                <w:kern w:val="0"/>
                <w:sz w:val="22"/>
                <w:szCs w:val="22"/>
              </w:rPr>
              <w:t>4.延续注册产品符合现行国家标准、行业标准，并提供符合标准的清单。</w:t>
            </w:r>
          </w:p>
          <w:p>
            <w:pPr>
              <w:widowControl/>
              <w:jc w:val="left"/>
              <w:rPr>
                <w:color w:val="auto"/>
                <w:kern w:val="0"/>
                <w:sz w:val="22"/>
                <w:szCs w:val="22"/>
              </w:rPr>
            </w:pPr>
            <w:r>
              <w:rPr>
                <w:rFonts w:hint="eastAsia"/>
                <w:color w:val="auto"/>
                <w:kern w:val="0"/>
                <w:sz w:val="22"/>
                <w:szCs w:val="22"/>
              </w:rPr>
              <w:t>5.延续注册产品符合国家标准品的清单。</w:t>
            </w:r>
          </w:p>
          <w:p>
            <w:pPr>
              <w:widowControl/>
              <w:jc w:val="left"/>
              <w:rPr>
                <w:color w:val="auto"/>
                <w:kern w:val="0"/>
                <w:sz w:val="22"/>
                <w:szCs w:val="22"/>
              </w:rPr>
            </w:pPr>
            <w:r>
              <w:rPr>
                <w:rFonts w:hint="eastAsia"/>
                <w:color w:val="auto"/>
                <w:kern w:val="0"/>
                <w:sz w:val="22"/>
                <w:szCs w:val="22"/>
              </w:rPr>
              <w:t>6.保证所提交资料的真实性。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7" w:hRule="atLeast"/>
          <w:jc w:val="center"/>
        </w:trPr>
        <w:tc>
          <w:tcPr>
            <w:tcW w:w="9704" w:type="dxa"/>
            <w:gridSpan w:val="4"/>
            <w:shd w:val="clear" w:color="auto" w:fill="FFFFFF"/>
            <w:vAlign w:val="center"/>
          </w:tcPr>
          <w:p>
            <w:pPr>
              <w:widowControl/>
              <w:jc w:val="center"/>
              <w:rPr>
                <w:b/>
                <w:bCs/>
                <w:color w:val="auto"/>
                <w:kern w:val="0"/>
                <w:sz w:val="22"/>
                <w:szCs w:val="22"/>
              </w:rPr>
            </w:pPr>
            <w:r>
              <w:rPr>
                <w:b/>
                <w:bCs/>
                <w:color w:val="auto"/>
                <w:kern w:val="0"/>
                <w:sz w:val="22"/>
                <w:szCs w:val="22"/>
              </w:rPr>
              <w:t>第2章——</w:t>
            </w:r>
            <w:r>
              <w:rPr>
                <w:rFonts w:hint="eastAsia"/>
                <w:b/>
                <w:bCs/>
                <w:color w:val="auto"/>
                <w:kern w:val="0"/>
                <w:sz w:val="22"/>
                <w:szCs w:val="22"/>
              </w:rPr>
              <w:t>非临床资料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994" w:type="dxa"/>
            <w:shd w:val="clear" w:color="auto" w:fill="FFFFFF"/>
            <w:vAlign w:val="center"/>
          </w:tcPr>
          <w:p>
            <w:pPr>
              <w:widowControl/>
              <w:jc w:val="center"/>
              <w:rPr>
                <w:b/>
                <w:bCs/>
                <w:color w:val="auto"/>
                <w:kern w:val="0"/>
                <w:sz w:val="22"/>
                <w:szCs w:val="22"/>
              </w:rPr>
            </w:pPr>
            <w:r>
              <w:rPr>
                <w:b/>
                <w:bCs/>
                <w:color w:val="auto"/>
                <w:kern w:val="0"/>
                <w:sz w:val="22"/>
                <w:szCs w:val="22"/>
              </w:rPr>
              <w:t>CH2.1</w:t>
            </w:r>
          </w:p>
        </w:tc>
        <w:tc>
          <w:tcPr>
            <w:tcW w:w="2013" w:type="dxa"/>
            <w:shd w:val="clear" w:color="auto" w:fill="FFFFFF"/>
            <w:vAlign w:val="center"/>
          </w:tcPr>
          <w:p>
            <w:pPr>
              <w:widowControl/>
              <w:jc w:val="left"/>
              <w:rPr>
                <w:color w:val="auto"/>
                <w:kern w:val="0"/>
                <w:sz w:val="22"/>
                <w:szCs w:val="22"/>
              </w:rPr>
            </w:pPr>
            <w:r>
              <w:rPr>
                <w:color w:val="auto"/>
                <w:kern w:val="0"/>
                <w:sz w:val="22"/>
                <w:szCs w:val="22"/>
              </w:rPr>
              <w:t>章节目录</w:t>
            </w:r>
          </w:p>
        </w:tc>
        <w:tc>
          <w:tcPr>
            <w:tcW w:w="816" w:type="dxa"/>
            <w:shd w:val="clear" w:color="auto" w:fill="FFFFFF"/>
            <w:vAlign w:val="center"/>
          </w:tcPr>
          <w:p>
            <w:pPr>
              <w:widowControl/>
              <w:jc w:val="center"/>
              <w:rPr>
                <w:color w:val="auto"/>
                <w:kern w:val="0"/>
                <w:sz w:val="22"/>
                <w:szCs w:val="22"/>
              </w:rPr>
            </w:pPr>
            <w:r>
              <w:rPr>
                <w:color w:val="auto"/>
                <w:kern w:val="0"/>
                <w:sz w:val="22"/>
                <w:szCs w:val="22"/>
              </w:rPr>
              <w:t>R</w:t>
            </w:r>
          </w:p>
        </w:tc>
        <w:tc>
          <w:tcPr>
            <w:tcW w:w="588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应当包括本章的所有标题和小标题，注明目录中各内容的页码。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300" w:hRule="atLeast"/>
          <w:jc w:val="center"/>
        </w:trPr>
        <w:tc>
          <w:tcPr>
            <w:tcW w:w="994" w:type="dxa"/>
            <w:shd w:val="clear" w:color="auto" w:fill="FFFFFF"/>
            <w:vAlign w:val="center"/>
          </w:tcPr>
          <w:p>
            <w:pPr>
              <w:widowControl/>
              <w:jc w:val="center"/>
              <w:rPr>
                <w:b/>
                <w:bCs/>
                <w:color w:val="auto"/>
                <w:kern w:val="0"/>
                <w:sz w:val="22"/>
                <w:szCs w:val="22"/>
              </w:rPr>
            </w:pPr>
            <w:r>
              <w:rPr>
                <w:b/>
                <w:bCs/>
                <w:color w:val="auto"/>
                <w:kern w:val="0"/>
                <w:sz w:val="22"/>
                <w:szCs w:val="22"/>
              </w:rPr>
              <w:t>CH2.2</w:t>
            </w:r>
          </w:p>
        </w:tc>
        <w:tc>
          <w:tcPr>
            <w:tcW w:w="2013" w:type="dxa"/>
            <w:shd w:val="clear" w:color="auto" w:fill="FFFFFF"/>
            <w:vAlign w:val="center"/>
          </w:tcPr>
          <w:p>
            <w:pPr>
              <w:widowControl/>
              <w:jc w:val="left"/>
              <w:rPr>
                <w:color w:val="auto"/>
                <w:kern w:val="0"/>
                <w:sz w:val="22"/>
                <w:szCs w:val="22"/>
              </w:rPr>
            </w:pPr>
            <w:r>
              <w:rPr>
                <w:rFonts w:hint="eastAsia"/>
                <w:color w:val="auto"/>
                <w:kern w:val="0"/>
                <w:sz w:val="22"/>
                <w:szCs w:val="22"/>
              </w:rPr>
              <w:t>产品技术要求</w:t>
            </w:r>
          </w:p>
        </w:tc>
        <w:tc>
          <w:tcPr>
            <w:tcW w:w="816" w:type="dxa"/>
            <w:shd w:val="clear" w:color="auto" w:fill="FFFFFF"/>
            <w:vAlign w:val="center"/>
          </w:tcPr>
          <w:p>
            <w:pPr>
              <w:widowControl/>
              <w:jc w:val="center"/>
              <w:rPr>
                <w:color w:val="auto"/>
                <w:kern w:val="0"/>
                <w:sz w:val="22"/>
                <w:szCs w:val="22"/>
              </w:rPr>
            </w:pPr>
            <w:r>
              <w:rPr>
                <w:rFonts w:hint="eastAsia"/>
                <w:color w:val="auto"/>
                <w:kern w:val="0"/>
                <w:sz w:val="22"/>
                <w:szCs w:val="22"/>
              </w:rPr>
              <w:t>C</w:t>
            </w:r>
            <w:r>
              <w:rPr>
                <w:color w:val="auto"/>
                <w:kern w:val="0"/>
                <w:sz w:val="22"/>
                <w:szCs w:val="22"/>
              </w:rPr>
              <w:t>R</w:t>
            </w:r>
          </w:p>
        </w:tc>
        <w:tc>
          <w:tcPr>
            <w:tcW w:w="588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1.</w:t>
            </w:r>
            <w:r>
              <w:rPr>
                <w:color w:val="auto"/>
                <w:kern w:val="0"/>
                <w:sz w:val="22"/>
                <w:szCs w:val="22"/>
              </w:rPr>
              <w:t>如在原医疗器械注册证有效期内发生了涉及产品技术要求变更的，应当提交依据变更注册（备案）文件</w:t>
            </w:r>
            <w:r>
              <w:rPr>
                <w:rFonts w:hint="eastAsia"/>
                <w:color w:val="auto"/>
                <w:kern w:val="0"/>
                <w:sz w:val="22"/>
                <w:szCs w:val="22"/>
              </w:rPr>
              <w:t>进行</w:t>
            </w:r>
            <w:r>
              <w:rPr>
                <w:color w:val="auto"/>
                <w:kern w:val="0"/>
                <w:sz w:val="22"/>
                <w:szCs w:val="22"/>
              </w:rPr>
              <w:t>修改的产品技术要求</w:t>
            </w:r>
            <w:r>
              <w:rPr>
                <w:rFonts w:hint="eastAsia"/>
                <w:color w:val="auto"/>
                <w:kern w:val="0"/>
                <w:sz w:val="22"/>
                <w:szCs w:val="22"/>
              </w:rPr>
              <w:t>说明及</w:t>
            </w:r>
            <w:r>
              <w:rPr>
                <w:color w:val="auto"/>
                <w:kern w:val="0"/>
                <w:sz w:val="22"/>
                <w:szCs w:val="22"/>
              </w:rPr>
              <w:t>依据变更注册（备案）文件</w:t>
            </w:r>
            <w:r>
              <w:rPr>
                <w:rFonts w:hint="eastAsia"/>
                <w:color w:val="auto"/>
                <w:kern w:val="0"/>
                <w:sz w:val="22"/>
                <w:szCs w:val="22"/>
              </w:rPr>
              <w:t>进行</w:t>
            </w:r>
            <w:r>
              <w:rPr>
                <w:color w:val="auto"/>
                <w:kern w:val="0"/>
                <w:sz w:val="22"/>
                <w:szCs w:val="22"/>
              </w:rPr>
              <w:t>修改的产品技术要求。</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2.</w:t>
            </w:r>
            <w:r>
              <w:rPr>
                <w:color w:val="auto"/>
                <w:kern w:val="0"/>
                <w:sz w:val="22"/>
                <w:szCs w:val="22"/>
              </w:rPr>
              <w:t>在原医疗器械注册证有效期内</w:t>
            </w:r>
            <w:r>
              <w:rPr>
                <w:rFonts w:hint="eastAsia"/>
                <w:color w:val="auto"/>
                <w:kern w:val="0"/>
                <w:sz w:val="22"/>
                <w:szCs w:val="22"/>
              </w:rPr>
              <w:t>产品技术要求</w:t>
            </w:r>
            <w:r>
              <w:rPr>
                <w:color w:val="auto"/>
                <w:kern w:val="0"/>
                <w:sz w:val="22"/>
                <w:szCs w:val="22"/>
              </w:rPr>
              <w:t>发生</w:t>
            </w:r>
            <w:r>
              <w:rPr>
                <w:rFonts w:hint="eastAsia"/>
                <w:color w:val="auto"/>
                <w:kern w:val="0"/>
                <w:sz w:val="22"/>
                <w:szCs w:val="22"/>
              </w:rPr>
              <w:t>变化提交新的产品技术要求的企业需提交产品技术要求一致性声明。</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3.无任何变更情况进行无变化情况说明。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40" w:hRule="atLeast"/>
          <w:jc w:val="center"/>
        </w:trPr>
        <w:tc>
          <w:tcPr>
            <w:tcW w:w="994" w:type="dxa"/>
            <w:shd w:val="clear" w:color="auto" w:fill="FFFFFF"/>
            <w:vAlign w:val="center"/>
          </w:tcPr>
          <w:p>
            <w:pPr>
              <w:widowControl/>
              <w:jc w:val="center"/>
              <w:rPr>
                <w:b/>
                <w:bCs/>
                <w:color w:val="auto"/>
                <w:kern w:val="0"/>
                <w:sz w:val="22"/>
                <w:szCs w:val="22"/>
              </w:rPr>
            </w:pPr>
            <w:r>
              <w:rPr>
                <w:b/>
                <w:bCs/>
                <w:color w:val="auto"/>
                <w:kern w:val="0"/>
                <w:sz w:val="22"/>
                <w:szCs w:val="22"/>
              </w:rPr>
              <w:t>CH2.3</w:t>
            </w:r>
          </w:p>
        </w:tc>
        <w:tc>
          <w:tcPr>
            <w:tcW w:w="2013" w:type="dxa"/>
            <w:shd w:val="clear" w:color="auto" w:fill="FFFFFF"/>
            <w:vAlign w:val="center"/>
          </w:tcPr>
          <w:p>
            <w:pPr>
              <w:widowControl/>
              <w:jc w:val="left"/>
              <w:rPr>
                <w:color w:val="auto"/>
                <w:kern w:val="0"/>
                <w:sz w:val="22"/>
                <w:szCs w:val="22"/>
              </w:rPr>
            </w:pPr>
            <w:r>
              <w:rPr>
                <w:rFonts w:hint="eastAsia"/>
                <w:color w:val="auto"/>
                <w:kern w:val="0"/>
                <w:sz w:val="22"/>
                <w:szCs w:val="22"/>
              </w:rPr>
              <w:t>产品说明书</w:t>
            </w:r>
          </w:p>
        </w:tc>
        <w:tc>
          <w:tcPr>
            <w:tcW w:w="816" w:type="dxa"/>
            <w:shd w:val="clear" w:color="auto" w:fill="FFFFFF"/>
            <w:vAlign w:val="center"/>
          </w:tcPr>
          <w:p>
            <w:pPr>
              <w:widowControl/>
              <w:jc w:val="center"/>
              <w:rPr>
                <w:color w:val="auto"/>
                <w:kern w:val="0"/>
                <w:sz w:val="22"/>
                <w:szCs w:val="22"/>
              </w:rPr>
            </w:pPr>
            <w:r>
              <w:rPr>
                <w:rFonts w:hint="eastAsia"/>
                <w:color w:val="auto"/>
                <w:kern w:val="0"/>
                <w:sz w:val="22"/>
                <w:szCs w:val="22"/>
              </w:rPr>
              <w:t>C</w:t>
            </w:r>
            <w:r>
              <w:rPr>
                <w:color w:val="auto"/>
                <w:kern w:val="0"/>
                <w:sz w:val="22"/>
                <w:szCs w:val="22"/>
              </w:rPr>
              <w:t>R</w:t>
            </w:r>
          </w:p>
        </w:tc>
        <w:tc>
          <w:tcPr>
            <w:tcW w:w="5881"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1.</w:t>
            </w:r>
            <w:r>
              <w:rPr>
                <w:color w:val="auto"/>
                <w:kern w:val="0"/>
                <w:sz w:val="22"/>
                <w:szCs w:val="22"/>
              </w:rPr>
              <w:t>如在原医疗器械注册证有效期内发生了涉及产品说明书变更的，当提交依据变更注册（备案）文件修改的产品说明书</w:t>
            </w:r>
            <w:r>
              <w:rPr>
                <w:rFonts w:hint="eastAsia"/>
                <w:color w:val="auto"/>
                <w:kern w:val="0"/>
                <w:sz w:val="22"/>
                <w:szCs w:val="22"/>
              </w:rPr>
              <w:t>说明及</w:t>
            </w:r>
            <w:r>
              <w:rPr>
                <w:color w:val="auto"/>
                <w:kern w:val="0"/>
                <w:sz w:val="22"/>
                <w:szCs w:val="22"/>
              </w:rPr>
              <w:t>依据变更注册（备案）文件</w:t>
            </w:r>
            <w:r>
              <w:rPr>
                <w:rFonts w:hint="eastAsia"/>
                <w:color w:val="auto"/>
                <w:kern w:val="0"/>
                <w:sz w:val="22"/>
                <w:szCs w:val="22"/>
              </w:rPr>
              <w:t>进行</w:t>
            </w:r>
            <w:r>
              <w:rPr>
                <w:color w:val="auto"/>
                <w:kern w:val="0"/>
                <w:sz w:val="22"/>
                <w:szCs w:val="22"/>
              </w:rPr>
              <w:t>修改的</w:t>
            </w:r>
            <w:r>
              <w:rPr>
                <w:rFonts w:hint="eastAsia"/>
                <w:color w:val="auto"/>
                <w:kern w:val="0"/>
                <w:sz w:val="22"/>
                <w:szCs w:val="22"/>
              </w:rPr>
              <w:t>产品说明书</w:t>
            </w:r>
            <w:r>
              <w:rPr>
                <w:color w:val="auto"/>
                <w:kern w:val="0"/>
                <w:sz w:val="22"/>
                <w:szCs w:val="22"/>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2.</w:t>
            </w:r>
            <w:r>
              <w:rPr>
                <w:color w:val="auto"/>
                <w:kern w:val="0"/>
                <w:sz w:val="22"/>
                <w:szCs w:val="22"/>
              </w:rPr>
              <w:t>在原医疗器械注册证有效期内发生</w:t>
            </w:r>
            <w:r>
              <w:rPr>
                <w:rFonts w:hint="eastAsia"/>
                <w:color w:val="auto"/>
                <w:kern w:val="0"/>
                <w:sz w:val="22"/>
                <w:szCs w:val="22"/>
              </w:rPr>
              <w:t>说明书变化提交新的说明书的企业需提交说明书一致性声明。</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color w:val="auto"/>
                <w:kern w:val="0"/>
                <w:sz w:val="22"/>
                <w:szCs w:val="22"/>
              </w:rPr>
            </w:pPr>
            <w:r>
              <w:rPr>
                <w:rFonts w:hint="eastAsia"/>
                <w:color w:val="auto"/>
                <w:kern w:val="0"/>
                <w:sz w:val="22"/>
                <w:szCs w:val="22"/>
              </w:rPr>
              <w:t>3.无任何变更情况进行无变化情况说明。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03" w:hRule="atLeast"/>
          <w:jc w:val="center"/>
        </w:trPr>
        <w:tc>
          <w:tcPr>
            <w:tcW w:w="994" w:type="dxa"/>
            <w:shd w:val="clear" w:color="auto" w:fill="FFFFFF"/>
            <w:vAlign w:val="center"/>
          </w:tcPr>
          <w:p>
            <w:pPr>
              <w:widowControl/>
              <w:jc w:val="center"/>
              <w:rPr>
                <w:b/>
                <w:bCs/>
                <w:color w:val="auto"/>
                <w:kern w:val="0"/>
                <w:sz w:val="22"/>
                <w:szCs w:val="22"/>
              </w:rPr>
            </w:pPr>
            <w:r>
              <w:rPr>
                <w:b/>
                <w:bCs/>
                <w:color w:val="auto"/>
                <w:kern w:val="0"/>
                <w:sz w:val="22"/>
                <w:szCs w:val="22"/>
              </w:rPr>
              <w:t>CH2.4</w:t>
            </w:r>
          </w:p>
        </w:tc>
        <w:tc>
          <w:tcPr>
            <w:tcW w:w="2013" w:type="dxa"/>
            <w:shd w:val="clear" w:color="auto" w:fill="FFFFFF"/>
            <w:vAlign w:val="center"/>
          </w:tcPr>
          <w:p>
            <w:pPr>
              <w:widowControl/>
              <w:jc w:val="left"/>
              <w:rPr>
                <w:color w:val="auto"/>
                <w:kern w:val="0"/>
                <w:sz w:val="22"/>
                <w:szCs w:val="22"/>
              </w:rPr>
            </w:pPr>
            <w:r>
              <w:rPr>
                <w:rFonts w:hint="eastAsia"/>
                <w:color w:val="auto"/>
                <w:kern w:val="0"/>
                <w:sz w:val="22"/>
                <w:szCs w:val="22"/>
              </w:rPr>
              <w:t>其他资料</w:t>
            </w:r>
          </w:p>
        </w:tc>
        <w:tc>
          <w:tcPr>
            <w:tcW w:w="816" w:type="dxa"/>
            <w:shd w:val="clear" w:color="auto" w:fill="FFFFFF"/>
            <w:vAlign w:val="center"/>
          </w:tcPr>
          <w:p>
            <w:pPr>
              <w:widowControl/>
              <w:jc w:val="center"/>
              <w:rPr>
                <w:color w:val="auto"/>
                <w:kern w:val="0"/>
                <w:sz w:val="22"/>
                <w:szCs w:val="22"/>
              </w:rPr>
            </w:pPr>
            <w:r>
              <w:rPr>
                <w:rFonts w:hint="eastAsia"/>
                <w:color w:val="auto"/>
                <w:kern w:val="0"/>
                <w:sz w:val="22"/>
                <w:szCs w:val="22"/>
              </w:rPr>
              <w:t>C</w:t>
            </w:r>
            <w:r>
              <w:rPr>
                <w:color w:val="auto"/>
                <w:kern w:val="0"/>
                <w:sz w:val="22"/>
                <w:szCs w:val="22"/>
              </w:rPr>
              <w:t>R</w:t>
            </w:r>
          </w:p>
        </w:tc>
        <w:tc>
          <w:tcPr>
            <w:tcW w:w="5881" w:type="dxa"/>
            <w:shd w:val="clear" w:color="auto" w:fill="FFFFFF"/>
            <w:vAlign w:val="center"/>
          </w:tcPr>
          <w:p>
            <w:pPr>
              <w:widowControl/>
              <w:jc w:val="left"/>
              <w:rPr>
                <w:color w:val="auto"/>
                <w:sz w:val="22"/>
                <w:szCs w:val="22"/>
              </w:rPr>
            </w:pPr>
            <w:r>
              <w:rPr>
                <w:rFonts w:hint="eastAsia"/>
                <w:color w:val="auto"/>
                <w:kern w:val="0"/>
                <w:sz w:val="22"/>
                <w:szCs w:val="22"/>
              </w:rPr>
              <w:t>原医疗器械注册证中载明要求继续完成的事项，涉及非临床研究的，</w:t>
            </w:r>
            <w:r>
              <w:rPr>
                <w:color w:val="auto"/>
                <w:kern w:val="0"/>
                <w:sz w:val="22"/>
                <w:szCs w:val="22"/>
              </w:rPr>
              <w:t>应当提供非临床研究总结报告，并附非临床研究资料。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22" w:hRule="atLeast"/>
          <w:jc w:val="center"/>
        </w:trPr>
        <w:tc>
          <w:tcPr>
            <w:tcW w:w="9704" w:type="dxa"/>
            <w:gridSpan w:val="4"/>
            <w:shd w:val="clear" w:color="auto" w:fill="FFFFFF"/>
            <w:vAlign w:val="center"/>
          </w:tcPr>
          <w:p>
            <w:pPr>
              <w:widowControl/>
              <w:jc w:val="center"/>
              <w:rPr>
                <w:b/>
                <w:bCs/>
                <w:color w:val="auto"/>
                <w:kern w:val="0"/>
                <w:sz w:val="22"/>
                <w:szCs w:val="22"/>
              </w:rPr>
            </w:pPr>
            <w:r>
              <w:rPr>
                <w:b/>
                <w:bCs/>
                <w:color w:val="auto"/>
                <w:kern w:val="0"/>
                <w:sz w:val="22"/>
                <w:szCs w:val="22"/>
              </w:rPr>
              <w:t>第3章——</w:t>
            </w:r>
            <w:r>
              <w:rPr>
                <w:rFonts w:hint="eastAsia"/>
                <w:b/>
                <w:bCs/>
                <w:color w:val="auto"/>
                <w:kern w:val="0"/>
                <w:sz w:val="22"/>
                <w:szCs w:val="22"/>
              </w:rPr>
              <w:t>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24" w:hRule="atLeast"/>
          <w:jc w:val="center"/>
        </w:trPr>
        <w:tc>
          <w:tcPr>
            <w:tcW w:w="994" w:type="dxa"/>
            <w:shd w:val="clear" w:color="auto" w:fill="FFFFFF"/>
            <w:vAlign w:val="center"/>
          </w:tcPr>
          <w:p>
            <w:pPr>
              <w:widowControl/>
              <w:jc w:val="center"/>
              <w:rPr>
                <w:b/>
                <w:bCs/>
                <w:color w:val="auto"/>
                <w:kern w:val="0"/>
                <w:sz w:val="22"/>
                <w:szCs w:val="22"/>
              </w:rPr>
            </w:pPr>
            <w:r>
              <w:rPr>
                <w:b/>
                <w:bCs/>
                <w:color w:val="auto"/>
                <w:kern w:val="0"/>
                <w:sz w:val="22"/>
                <w:szCs w:val="22"/>
              </w:rPr>
              <w:t>CH3.1</w:t>
            </w:r>
          </w:p>
        </w:tc>
        <w:tc>
          <w:tcPr>
            <w:tcW w:w="2013" w:type="dxa"/>
            <w:shd w:val="clear" w:color="auto" w:fill="FFFFFF"/>
            <w:vAlign w:val="center"/>
          </w:tcPr>
          <w:p>
            <w:pPr>
              <w:widowControl/>
              <w:jc w:val="left"/>
              <w:rPr>
                <w:color w:val="auto"/>
                <w:kern w:val="0"/>
                <w:sz w:val="22"/>
                <w:szCs w:val="22"/>
              </w:rPr>
            </w:pPr>
            <w:r>
              <w:rPr>
                <w:rFonts w:hint="eastAsia"/>
                <w:color w:val="auto"/>
                <w:kern w:val="0"/>
                <w:sz w:val="22"/>
                <w:szCs w:val="22"/>
              </w:rPr>
              <w:t>临床评价资料</w:t>
            </w:r>
          </w:p>
        </w:tc>
        <w:tc>
          <w:tcPr>
            <w:tcW w:w="816" w:type="dxa"/>
            <w:shd w:val="clear" w:color="auto" w:fill="FFFFFF"/>
            <w:vAlign w:val="center"/>
          </w:tcPr>
          <w:p>
            <w:pPr>
              <w:widowControl/>
              <w:jc w:val="center"/>
              <w:rPr>
                <w:color w:val="auto"/>
                <w:kern w:val="0"/>
                <w:sz w:val="22"/>
                <w:szCs w:val="22"/>
              </w:rPr>
            </w:pPr>
            <w:r>
              <w:rPr>
                <w:color w:val="auto"/>
                <w:kern w:val="0"/>
                <w:sz w:val="22"/>
                <w:szCs w:val="22"/>
              </w:rPr>
              <w:t>CR</w:t>
            </w:r>
          </w:p>
        </w:tc>
        <w:tc>
          <w:tcPr>
            <w:tcW w:w="5881" w:type="dxa"/>
            <w:shd w:val="clear" w:color="auto" w:fill="FFFFFF"/>
            <w:vAlign w:val="center"/>
          </w:tcPr>
          <w:p>
            <w:pPr>
              <w:widowControl/>
              <w:jc w:val="left"/>
              <w:rPr>
                <w:color w:val="auto"/>
                <w:kern w:val="0"/>
                <w:sz w:val="22"/>
                <w:szCs w:val="22"/>
              </w:rPr>
            </w:pPr>
            <w:r>
              <w:rPr>
                <w:rFonts w:hint="eastAsia"/>
                <w:color w:val="auto"/>
                <w:kern w:val="0"/>
                <w:sz w:val="22"/>
                <w:szCs w:val="22"/>
              </w:rPr>
              <w:t>原医疗器械注册证中载明要求继续完成的事项，涉及临床评价的，</w:t>
            </w:r>
            <w:r>
              <w:rPr>
                <w:color w:val="auto"/>
                <w:kern w:val="0"/>
                <w:sz w:val="22"/>
                <w:szCs w:val="22"/>
              </w:rPr>
              <w:t>应当提供临床评价总结报告，并附临床评价资料。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24" w:hRule="atLeast"/>
          <w:jc w:val="center"/>
        </w:trPr>
        <w:tc>
          <w:tcPr>
            <w:tcW w:w="994" w:type="dxa"/>
            <w:shd w:val="clear" w:color="auto" w:fill="FFFFFF"/>
            <w:vAlign w:val="center"/>
          </w:tcPr>
          <w:p>
            <w:pPr>
              <w:widowControl/>
              <w:jc w:val="center"/>
              <w:rPr>
                <w:b/>
                <w:bCs/>
                <w:color w:val="auto"/>
                <w:kern w:val="0"/>
                <w:sz w:val="22"/>
                <w:szCs w:val="22"/>
              </w:rPr>
            </w:pPr>
          </w:p>
        </w:tc>
        <w:tc>
          <w:tcPr>
            <w:tcW w:w="2013" w:type="dxa"/>
            <w:shd w:val="clear" w:color="auto" w:fill="FFFFFF"/>
            <w:vAlign w:val="center"/>
          </w:tcPr>
          <w:p>
            <w:pPr>
              <w:widowControl/>
              <w:jc w:val="left"/>
              <w:rPr>
                <w:rFonts w:hint="eastAsia"/>
                <w:color w:val="auto"/>
                <w:kern w:val="0"/>
                <w:sz w:val="22"/>
                <w:szCs w:val="22"/>
              </w:rPr>
            </w:pPr>
          </w:p>
        </w:tc>
        <w:tc>
          <w:tcPr>
            <w:tcW w:w="816" w:type="dxa"/>
            <w:shd w:val="clear" w:color="auto" w:fill="FFFFFF"/>
            <w:vAlign w:val="center"/>
          </w:tcPr>
          <w:p>
            <w:pPr>
              <w:widowControl/>
              <w:jc w:val="center"/>
              <w:rPr>
                <w:color w:val="auto"/>
                <w:kern w:val="0"/>
                <w:sz w:val="22"/>
                <w:szCs w:val="22"/>
              </w:rPr>
            </w:pPr>
          </w:p>
        </w:tc>
        <w:tc>
          <w:tcPr>
            <w:tcW w:w="5881" w:type="dxa"/>
            <w:shd w:val="clear" w:color="auto" w:fill="FFFFFF"/>
            <w:vAlign w:val="center"/>
          </w:tcPr>
          <w:p>
            <w:pPr>
              <w:widowControl/>
              <w:jc w:val="left"/>
              <w:rPr>
                <w:rFonts w:hint="eastAsia"/>
                <w:color w:val="auto"/>
                <w:kern w:val="0"/>
                <w:sz w:val="22"/>
                <w:szCs w:val="22"/>
              </w:rPr>
            </w:pPr>
          </w:p>
        </w:tc>
      </w:tr>
    </w:tbl>
    <w:p>
      <w:pPr>
        <w:keepNext/>
        <w:keepLines/>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黑体"/>
          <w:bCs/>
          <w:color w:val="auto"/>
          <w:kern w:val="44"/>
          <w:sz w:val="32"/>
          <w:szCs w:val="44"/>
          <w:lang w:val="zh-CN"/>
        </w:rPr>
      </w:pPr>
      <w:r>
        <w:rPr>
          <w:rFonts w:eastAsia="黑体"/>
          <w:bCs/>
          <w:color w:val="auto"/>
          <w:kern w:val="44"/>
          <w:sz w:val="32"/>
          <w:szCs w:val="44"/>
          <w:lang w:val="zh-CN"/>
        </w:rPr>
        <w:br w:type="page"/>
      </w:r>
      <w:r>
        <w:rPr>
          <w:rFonts w:hint="eastAsia" w:eastAsia="黑体"/>
          <w:bCs/>
          <w:color w:val="auto"/>
          <w:kern w:val="44"/>
          <w:sz w:val="32"/>
          <w:szCs w:val="44"/>
          <w:lang w:val="zh-CN"/>
        </w:rPr>
        <w:t>七、湖南省第二类医疗器械变更备案申报材料电子目录</w:t>
      </w:r>
    </w:p>
    <w:tbl>
      <w:tblPr>
        <w:tblStyle w:val="11"/>
        <w:tblW w:w="99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32"/>
        <w:gridCol w:w="953"/>
        <w:gridCol w:w="5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blHeader/>
          <w:jc w:val="center"/>
        </w:trPr>
        <w:tc>
          <w:tcPr>
            <w:tcW w:w="990" w:type="dxa"/>
            <w:vAlign w:val="center"/>
          </w:tcPr>
          <w:p>
            <w:pPr>
              <w:widowControl/>
              <w:jc w:val="center"/>
              <w:rPr>
                <w:rFonts w:ascii="黑体" w:hAnsi="黑体" w:eastAsia="黑体"/>
                <w:bCs/>
                <w:color w:val="auto"/>
                <w:kern w:val="0"/>
                <w:sz w:val="24"/>
              </w:rPr>
            </w:pPr>
            <w:r>
              <w:rPr>
                <w:rFonts w:ascii="黑体" w:hAnsi="黑体" w:eastAsia="黑体"/>
                <w:bCs/>
                <w:color w:val="auto"/>
                <w:kern w:val="0"/>
                <w:sz w:val="24"/>
              </w:rPr>
              <w:t>编号</w:t>
            </w:r>
          </w:p>
        </w:tc>
        <w:tc>
          <w:tcPr>
            <w:tcW w:w="2232" w:type="dxa"/>
            <w:vAlign w:val="center"/>
          </w:tcPr>
          <w:p>
            <w:pPr>
              <w:widowControl/>
              <w:jc w:val="center"/>
              <w:rPr>
                <w:rFonts w:ascii="黑体" w:hAnsi="黑体" w:eastAsia="黑体"/>
                <w:bCs/>
                <w:color w:val="auto"/>
                <w:kern w:val="0"/>
                <w:sz w:val="24"/>
              </w:rPr>
            </w:pPr>
            <w:r>
              <w:rPr>
                <w:rFonts w:ascii="黑体" w:hAnsi="黑体" w:eastAsia="黑体"/>
                <w:bCs/>
                <w:color w:val="auto"/>
                <w:kern w:val="0"/>
                <w:sz w:val="24"/>
              </w:rPr>
              <w:t>标题</w:t>
            </w:r>
          </w:p>
        </w:tc>
        <w:tc>
          <w:tcPr>
            <w:tcW w:w="953" w:type="dxa"/>
            <w:vAlign w:val="center"/>
          </w:tcPr>
          <w:p>
            <w:pPr>
              <w:widowControl/>
              <w:jc w:val="center"/>
              <w:rPr>
                <w:rFonts w:ascii="黑体" w:hAnsi="黑体" w:eastAsia="黑体"/>
                <w:bCs/>
                <w:color w:val="auto"/>
                <w:kern w:val="0"/>
                <w:sz w:val="24"/>
              </w:rPr>
            </w:pPr>
            <w:r>
              <w:rPr>
                <w:rFonts w:ascii="黑体" w:hAnsi="黑体" w:eastAsia="黑体"/>
                <w:bCs/>
                <w:color w:val="auto"/>
                <w:kern w:val="0"/>
                <w:sz w:val="24"/>
              </w:rPr>
              <w:t>适用</w:t>
            </w:r>
          </w:p>
          <w:p>
            <w:pPr>
              <w:widowControl/>
              <w:jc w:val="center"/>
              <w:rPr>
                <w:rFonts w:ascii="黑体" w:hAnsi="黑体" w:eastAsia="黑体"/>
                <w:bCs/>
                <w:color w:val="auto"/>
                <w:kern w:val="0"/>
                <w:sz w:val="24"/>
              </w:rPr>
            </w:pPr>
            <w:r>
              <w:rPr>
                <w:rFonts w:ascii="黑体" w:hAnsi="黑体" w:eastAsia="黑体"/>
                <w:bCs/>
                <w:color w:val="auto"/>
                <w:kern w:val="0"/>
                <w:sz w:val="24"/>
              </w:rPr>
              <w:t>情况</w:t>
            </w:r>
          </w:p>
        </w:tc>
        <w:tc>
          <w:tcPr>
            <w:tcW w:w="5728" w:type="dxa"/>
            <w:vAlign w:val="center"/>
          </w:tcPr>
          <w:p>
            <w:pPr>
              <w:widowControl/>
              <w:jc w:val="center"/>
              <w:rPr>
                <w:rFonts w:ascii="黑体" w:hAnsi="黑体" w:eastAsia="黑体"/>
                <w:bCs/>
                <w:color w:val="auto"/>
                <w:kern w:val="0"/>
                <w:sz w:val="24"/>
              </w:rPr>
            </w:pPr>
            <w:r>
              <w:rPr>
                <w:rFonts w:ascii="黑体" w:hAnsi="黑体" w:eastAsia="黑体"/>
                <w:bCs/>
                <w:color w:val="auto"/>
                <w:kern w:val="0"/>
                <w:sz w:val="24"/>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blHeader/>
          <w:jc w:val="center"/>
        </w:trPr>
        <w:tc>
          <w:tcPr>
            <w:tcW w:w="9903" w:type="dxa"/>
            <w:gridSpan w:val="4"/>
            <w:vAlign w:val="center"/>
          </w:tcPr>
          <w:p>
            <w:pPr>
              <w:widowControl/>
              <w:jc w:val="center"/>
              <w:rPr>
                <w:rFonts w:ascii="黑体" w:hAnsi="黑体" w:eastAsia="黑体"/>
                <w:bCs/>
                <w:color w:val="auto"/>
                <w:kern w:val="0"/>
                <w:sz w:val="24"/>
              </w:rPr>
            </w:pPr>
            <w:r>
              <w:rPr>
                <w:b/>
                <w:bCs/>
                <w:color w:val="auto"/>
                <w:kern w:val="0"/>
                <w:sz w:val="24"/>
              </w:rPr>
              <w:t>第1章——</w:t>
            </w:r>
            <w:r>
              <w:rPr>
                <w:rFonts w:hint="eastAsia"/>
                <w:b/>
                <w:bCs/>
                <w:color w:val="auto"/>
                <w:kern w:val="0"/>
                <w:sz w:val="24"/>
              </w:rPr>
              <w:t>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0" w:type="dxa"/>
            <w:vAlign w:val="center"/>
          </w:tcPr>
          <w:p>
            <w:pPr>
              <w:widowControl/>
              <w:jc w:val="center"/>
              <w:rPr>
                <w:b/>
                <w:bCs/>
                <w:color w:val="auto"/>
                <w:kern w:val="0"/>
                <w:sz w:val="24"/>
              </w:rPr>
            </w:pPr>
            <w:r>
              <w:rPr>
                <w:b/>
                <w:bCs/>
                <w:color w:val="auto"/>
                <w:kern w:val="0"/>
                <w:sz w:val="24"/>
              </w:rPr>
              <w:t>CH</w:t>
            </w:r>
            <w:r>
              <w:rPr>
                <w:rFonts w:hint="eastAsia"/>
                <w:b/>
                <w:bCs/>
                <w:color w:val="auto"/>
                <w:kern w:val="0"/>
                <w:sz w:val="24"/>
              </w:rPr>
              <w:t>1</w:t>
            </w:r>
            <w:r>
              <w:rPr>
                <w:b/>
                <w:bCs/>
                <w:color w:val="auto"/>
                <w:kern w:val="0"/>
                <w:sz w:val="24"/>
              </w:rPr>
              <w:t>.1</w:t>
            </w:r>
          </w:p>
        </w:tc>
        <w:tc>
          <w:tcPr>
            <w:tcW w:w="2232" w:type="dxa"/>
            <w:vAlign w:val="center"/>
          </w:tcPr>
          <w:p>
            <w:pPr>
              <w:overflowPunct w:val="0"/>
              <w:jc w:val="left"/>
              <w:rPr>
                <w:bCs/>
                <w:color w:val="auto"/>
                <w:kern w:val="0"/>
                <w:sz w:val="24"/>
              </w:rPr>
            </w:pPr>
            <w:r>
              <w:rPr>
                <w:rFonts w:hint="eastAsia"/>
                <w:bCs/>
                <w:color w:val="auto"/>
                <w:kern w:val="0"/>
                <w:sz w:val="24"/>
              </w:rPr>
              <w:t>章节目录</w:t>
            </w:r>
          </w:p>
        </w:tc>
        <w:tc>
          <w:tcPr>
            <w:tcW w:w="953" w:type="dxa"/>
            <w:vAlign w:val="center"/>
          </w:tcPr>
          <w:p>
            <w:pPr>
              <w:overflowPunct w:val="0"/>
              <w:jc w:val="center"/>
              <w:rPr>
                <w:bCs/>
                <w:color w:val="auto"/>
                <w:kern w:val="0"/>
                <w:sz w:val="24"/>
              </w:rPr>
            </w:pPr>
            <w:r>
              <w:rPr>
                <w:bCs/>
                <w:color w:val="auto"/>
                <w:kern w:val="0"/>
                <w:sz w:val="24"/>
              </w:rPr>
              <w:t>R</w:t>
            </w:r>
          </w:p>
        </w:tc>
        <w:tc>
          <w:tcPr>
            <w:tcW w:w="5728"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color w:val="auto"/>
                <w:kern w:val="0"/>
                <w:sz w:val="24"/>
              </w:rPr>
            </w:pPr>
            <w:r>
              <w:rPr>
                <w:rFonts w:hint="eastAsia"/>
                <w:color w:val="auto"/>
                <w:kern w:val="0"/>
                <w:sz w:val="24"/>
              </w:rPr>
              <w:t>应当包括本章的所有标题和小标题，注明目录中各内容的页码。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0" w:type="dxa"/>
            <w:vAlign w:val="center"/>
          </w:tcPr>
          <w:p>
            <w:pPr>
              <w:widowControl/>
              <w:jc w:val="center"/>
              <w:rPr>
                <w:b/>
                <w:bCs/>
                <w:color w:val="auto"/>
                <w:kern w:val="0"/>
                <w:sz w:val="24"/>
              </w:rPr>
            </w:pPr>
            <w:r>
              <w:rPr>
                <w:b/>
                <w:bCs/>
                <w:color w:val="auto"/>
                <w:kern w:val="0"/>
                <w:sz w:val="24"/>
              </w:rPr>
              <w:t>CH</w:t>
            </w:r>
            <w:r>
              <w:rPr>
                <w:rFonts w:hint="eastAsia"/>
                <w:b/>
                <w:bCs/>
                <w:color w:val="auto"/>
                <w:kern w:val="0"/>
                <w:sz w:val="24"/>
              </w:rPr>
              <w:t>1</w:t>
            </w:r>
            <w:r>
              <w:rPr>
                <w:b/>
                <w:bCs/>
                <w:color w:val="auto"/>
                <w:kern w:val="0"/>
                <w:sz w:val="24"/>
              </w:rPr>
              <w:t>.</w:t>
            </w:r>
            <w:r>
              <w:rPr>
                <w:rFonts w:hint="eastAsia"/>
                <w:b/>
                <w:bCs/>
                <w:color w:val="auto"/>
                <w:kern w:val="0"/>
                <w:sz w:val="24"/>
              </w:rPr>
              <w:t>2</w:t>
            </w:r>
          </w:p>
        </w:tc>
        <w:tc>
          <w:tcPr>
            <w:tcW w:w="2232" w:type="dxa"/>
            <w:vAlign w:val="center"/>
          </w:tcPr>
          <w:p>
            <w:pPr>
              <w:overflowPunct w:val="0"/>
              <w:jc w:val="left"/>
              <w:rPr>
                <w:bCs/>
                <w:color w:val="auto"/>
                <w:kern w:val="0"/>
                <w:sz w:val="24"/>
              </w:rPr>
            </w:pPr>
            <w:r>
              <w:rPr>
                <w:rFonts w:hint="eastAsia"/>
                <w:bCs/>
                <w:color w:val="auto"/>
                <w:kern w:val="0"/>
                <w:sz w:val="24"/>
              </w:rPr>
              <w:t>备案表</w:t>
            </w:r>
          </w:p>
        </w:tc>
        <w:tc>
          <w:tcPr>
            <w:tcW w:w="953" w:type="dxa"/>
            <w:vAlign w:val="center"/>
          </w:tcPr>
          <w:p>
            <w:pPr>
              <w:overflowPunct w:val="0"/>
              <w:jc w:val="center"/>
              <w:rPr>
                <w:bCs/>
                <w:color w:val="auto"/>
                <w:kern w:val="0"/>
                <w:sz w:val="24"/>
                <w:highlight w:val="yellow"/>
              </w:rPr>
            </w:pPr>
            <w:r>
              <w:rPr>
                <w:rFonts w:hint="eastAsia"/>
                <w:bCs/>
                <w:color w:val="auto"/>
                <w:kern w:val="0"/>
                <w:sz w:val="24"/>
              </w:rPr>
              <w:t>R</w:t>
            </w:r>
          </w:p>
        </w:tc>
        <w:tc>
          <w:tcPr>
            <w:tcW w:w="572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bCs/>
                <w:color w:val="auto"/>
                <w:kern w:val="0"/>
                <w:sz w:val="24"/>
                <w:highlight w:val="yellow"/>
              </w:rPr>
            </w:pPr>
            <w:r>
              <w:rPr>
                <w:color w:val="auto"/>
                <w:sz w:val="22"/>
                <w:szCs w:val="22"/>
              </w:rPr>
              <w:t>在省药品监督管理局医疗器械注册电子申报子系统中填写并加盖电子印章</w:t>
            </w:r>
            <w:r>
              <w:rPr>
                <w:rFonts w:hint="eastAsia"/>
                <w:color w:val="auto"/>
                <w:sz w:val="22"/>
                <w:szCs w:val="22"/>
              </w:rPr>
              <w:t>；样表可在政务服务旗舰店办事指南查看。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jc w:val="center"/>
        </w:trPr>
        <w:tc>
          <w:tcPr>
            <w:tcW w:w="990" w:type="dxa"/>
            <w:vAlign w:val="center"/>
          </w:tcPr>
          <w:p>
            <w:pPr>
              <w:widowControl/>
              <w:jc w:val="center"/>
              <w:rPr>
                <w:b/>
                <w:bCs/>
                <w:color w:val="auto"/>
                <w:kern w:val="0"/>
                <w:sz w:val="24"/>
              </w:rPr>
            </w:pPr>
            <w:r>
              <w:rPr>
                <w:b/>
                <w:bCs/>
                <w:color w:val="auto"/>
                <w:kern w:val="0"/>
                <w:sz w:val="24"/>
              </w:rPr>
              <w:t>CH</w:t>
            </w:r>
            <w:r>
              <w:rPr>
                <w:rFonts w:hint="eastAsia"/>
                <w:b/>
                <w:bCs/>
                <w:color w:val="auto"/>
                <w:kern w:val="0"/>
                <w:sz w:val="24"/>
              </w:rPr>
              <w:t>1</w:t>
            </w:r>
            <w:r>
              <w:rPr>
                <w:b/>
                <w:bCs/>
                <w:color w:val="auto"/>
                <w:kern w:val="0"/>
                <w:sz w:val="24"/>
              </w:rPr>
              <w:t>.</w:t>
            </w:r>
            <w:r>
              <w:rPr>
                <w:rFonts w:hint="eastAsia"/>
                <w:b/>
                <w:bCs/>
                <w:color w:val="auto"/>
                <w:kern w:val="0"/>
                <w:sz w:val="24"/>
              </w:rPr>
              <w:t>3</w:t>
            </w:r>
          </w:p>
        </w:tc>
        <w:tc>
          <w:tcPr>
            <w:tcW w:w="2232" w:type="dxa"/>
            <w:vAlign w:val="center"/>
          </w:tcPr>
          <w:p>
            <w:pPr>
              <w:overflowPunct w:val="0"/>
              <w:jc w:val="left"/>
              <w:rPr>
                <w:bCs/>
                <w:color w:val="auto"/>
                <w:kern w:val="0"/>
                <w:sz w:val="24"/>
              </w:rPr>
            </w:pPr>
            <w:r>
              <w:rPr>
                <w:rFonts w:hint="eastAsia"/>
                <w:bCs/>
                <w:color w:val="auto"/>
                <w:kern w:val="0"/>
                <w:sz w:val="24"/>
              </w:rPr>
              <w:t>关联文件</w:t>
            </w:r>
          </w:p>
        </w:tc>
        <w:tc>
          <w:tcPr>
            <w:tcW w:w="953" w:type="dxa"/>
            <w:vAlign w:val="center"/>
          </w:tcPr>
          <w:p>
            <w:pPr>
              <w:overflowPunct w:val="0"/>
              <w:jc w:val="center"/>
              <w:rPr>
                <w:bCs/>
                <w:color w:val="auto"/>
                <w:kern w:val="0"/>
                <w:sz w:val="24"/>
              </w:rPr>
            </w:pPr>
            <w:r>
              <w:rPr>
                <w:bCs/>
                <w:color w:val="auto"/>
                <w:kern w:val="0"/>
                <w:sz w:val="24"/>
              </w:rPr>
              <w:t>R</w:t>
            </w:r>
          </w:p>
        </w:tc>
        <w:tc>
          <w:tcPr>
            <w:tcW w:w="572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auto"/>
              <w:rPr>
                <w:rFonts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企业营业执照或事业单位法人证书复印件。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auto"/>
              <w:rPr>
                <w:bCs/>
                <w:color w:val="auto"/>
                <w:kern w:val="0"/>
                <w:sz w:val="24"/>
                <w:highlight w:val="yellow"/>
              </w:rPr>
            </w:pPr>
            <w:r>
              <w:rPr>
                <w:rFonts w:ascii="宋体" w:hAnsi="宋体" w:eastAsia="宋体" w:cs="宋体"/>
                <w:color w:val="auto"/>
                <w:kern w:val="0"/>
                <w:sz w:val="24"/>
                <w:szCs w:val="24"/>
                <w:lang w:val="en-US" w:eastAsia="zh-CN" w:bidi="ar"/>
              </w:rPr>
              <w:t>2.提交原医疗器械注册证及其附件的复印件、历次医疗器械变更注册（备案）文件及其附件的复印件。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90" w:type="dxa"/>
            <w:vAlign w:val="center"/>
          </w:tcPr>
          <w:p>
            <w:pPr>
              <w:widowControl/>
              <w:jc w:val="center"/>
              <w:rPr>
                <w:b/>
                <w:bCs/>
                <w:color w:val="auto"/>
                <w:kern w:val="0"/>
                <w:sz w:val="24"/>
              </w:rPr>
            </w:pPr>
            <w:r>
              <w:rPr>
                <w:b/>
                <w:bCs/>
                <w:color w:val="auto"/>
                <w:kern w:val="0"/>
                <w:sz w:val="24"/>
              </w:rPr>
              <w:t>CH</w:t>
            </w:r>
            <w:r>
              <w:rPr>
                <w:rFonts w:hint="eastAsia"/>
                <w:b/>
                <w:bCs/>
                <w:color w:val="auto"/>
                <w:kern w:val="0"/>
                <w:sz w:val="24"/>
              </w:rPr>
              <w:t>1</w:t>
            </w:r>
            <w:r>
              <w:rPr>
                <w:b/>
                <w:bCs/>
                <w:color w:val="auto"/>
                <w:kern w:val="0"/>
                <w:sz w:val="24"/>
              </w:rPr>
              <w:t>.</w:t>
            </w:r>
            <w:r>
              <w:rPr>
                <w:rFonts w:hint="eastAsia"/>
                <w:b/>
                <w:bCs/>
                <w:color w:val="auto"/>
                <w:kern w:val="0"/>
                <w:sz w:val="24"/>
              </w:rPr>
              <w:t>4</w:t>
            </w:r>
          </w:p>
        </w:tc>
        <w:tc>
          <w:tcPr>
            <w:tcW w:w="2232" w:type="dxa"/>
            <w:vAlign w:val="center"/>
          </w:tcPr>
          <w:p>
            <w:pPr>
              <w:overflowPunct w:val="0"/>
              <w:jc w:val="left"/>
              <w:rPr>
                <w:bCs/>
                <w:color w:val="auto"/>
                <w:kern w:val="0"/>
                <w:sz w:val="24"/>
              </w:rPr>
            </w:pPr>
            <w:r>
              <w:rPr>
                <w:rFonts w:hint="eastAsia"/>
                <w:bCs/>
                <w:color w:val="auto"/>
                <w:kern w:val="0"/>
                <w:sz w:val="24"/>
              </w:rPr>
              <w:t>申报产品符合现行国家标准、行业标准的清单</w:t>
            </w:r>
          </w:p>
        </w:tc>
        <w:tc>
          <w:tcPr>
            <w:tcW w:w="953" w:type="dxa"/>
            <w:vAlign w:val="center"/>
          </w:tcPr>
          <w:p>
            <w:pPr>
              <w:overflowPunct w:val="0"/>
              <w:jc w:val="center"/>
              <w:rPr>
                <w:bCs/>
                <w:color w:val="auto"/>
                <w:kern w:val="0"/>
                <w:sz w:val="24"/>
              </w:rPr>
            </w:pPr>
            <w:r>
              <w:rPr>
                <w:bCs/>
                <w:color w:val="auto"/>
                <w:kern w:val="0"/>
                <w:sz w:val="24"/>
              </w:rPr>
              <w:t>R</w:t>
            </w:r>
          </w:p>
        </w:tc>
        <w:tc>
          <w:tcPr>
            <w:tcW w:w="5728" w:type="dxa"/>
            <w:vAlign w:val="center"/>
          </w:tcPr>
          <w:p>
            <w:pPr>
              <w:keepNext w:val="0"/>
              <w:keepLines w:val="0"/>
              <w:pageBreakBefore w:val="0"/>
              <w:kinsoku/>
              <w:wordWrap/>
              <w:overflowPunct w:val="0"/>
              <w:topLinePunct w:val="0"/>
              <w:autoSpaceDE/>
              <w:autoSpaceDN/>
              <w:bidi w:val="0"/>
              <w:adjustRightInd/>
              <w:snapToGrid/>
              <w:spacing w:line="360" w:lineRule="exact"/>
              <w:jc w:val="left"/>
              <w:textAlignment w:val="auto"/>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9903" w:type="dxa"/>
            <w:gridSpan w:val="4"/>
            <w:vAlign w:val="center"/>
          </w:tcPr>
          <w:p>
            <w:pPr>
              <w:keepNext w:val="0"/>
              <w:keepLines w:val="0"/>
              <w:pageBreakBefore w:val="0"/>
              <w:widowControl/>
              <w:kinsoku/>
              <w:wordWrap/>
              <w:topLinePunct w:val="0"/>
              <w:autoSpaceDE/>
              <w:autoSpaceDN/>
              <w:bidi w:val="0"/>
              <w:adjustRightInd/>
              <w:snapToGrid/>
              <w:spacing w:line="360" w:lineRule="exact"/>
              <w:jc w:val="center"/>
              <w:textAlignment w:val="auto"/>
              <w:rPr>
                <w:rFonts w:ascii="黑体" w:hAnsi="黑体" w:eastAsia="黑体"/>
                <w:bCs/>
                <w:color w:val="auto"/>
                <w:kern w:val="0"/>
                <w:sz w:val="24"/>
              </w:rPr>
            </w:pPr>
            <w:r>
              <w:rPr>
                <w:b/>
                <w:bCs/>
                <w:color w:val="auto"/>
                <w:kern w:val="0"/>
                <w:sz w:val="24"/>
              </w:rPr>
              <w:t>第</w:t>
            </w:r>
            <w:r>
              <w:rPr>
                <w:rFonts w:hint="eastAsia"/>
                <w:b/>
                <w:bCs/>
                <w:color w:val="auto"/>
                <w:kern w:val="0"/>
                <w:sz w:val="24"/>
              </w:rPr>
              <w:t>2</w:t>
            </w:r>
            <w:r>
              <w:rPr>
                <w:b/>
                <w:bCs/>
                <w:color w:val="auto"/>
                <w:kern w:val="0"/>
                <w:sz w:val="24"/>
              </w:rPr>
              <w:t>章——</w:t>
            </w:r>
            <w:r>
              <w:rPr>
                <w:rFonts w:hint="eastAsia"/>
                <w:b/>
                <w:bCs/>
                <w:color w:val="auto"/>
                <w:kern w:val="0"/>
                <w:sz w:val="24"/>
              </w:rPr>
              <w:t>综述资料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990" w:type="dxa"/>
            <w:vAlign w:val="center"/>
          </w:tcPr>
          <w:p>
            <w:pPr>
              <w:widowControl/>
              <w:jc w:val="center"/>
              <w:rPr>
                <w:b/>
                <w:bCs/>
                <w:color w:val="auto"/>
                <w:kern w:val="0"/>
                <w:sz w:val="24"/>
              </w:rPr>
            </w:pPr>
            <w:r>
              <w:rPr>
                <w:b/>
                <w:bCs/>
                <w:color w:val="auto"/>
                <w:kern w:val="0"/>
                <w:sz w:val="24"/>
              </w:rPr>
              <w:t>CH</w:t>
            </w:r>
            <w:r>
              <w:rPr>
                <w:rFonts w:hint="eastAsia"/>
                <w:b/>
                <w:bCs/>
                <w:color w:val="auto"/>
                <w:kern w:val="0"/>
                <w:sz w:val="24"/>
              </w:rPr>
              <w:t>2</w:t>
            </w:r>
            <w:r>
              <w:rPr>
                <w:b/>
                <w:bCs/>
                <w:color w:val="auto"/>
                <w:kern w:val="0"/>
                <w:sz w:val="24"/>
              </w:rPr>
              <w:t>.1</w:t>
            </w:r>
          </w:p>
        </w:tc>
        <w:tc>
          <w:tcPr>
            <w:tcW w:w="2232" w:type="dxa"/>
            <w:vAlign w:val="center"/>
          </w:tcPr>
          <w:p>
            <w:pPr>
              <w:overflowPunct w:val="0"/>
              <w:jc w:val="left"/>
              <w:rPr>
                <w:bCs/>
                <w:color w:val="auto"/>
                <w:kern w:val="0"/>
                <w:sz w:val="24"/>
              </w:rPr>
            </w:pPr>
            <w:r>
              <w:rPr>
                <w:rFonts w:hint="eastAsia"/>
                <w:bCs/>
                <w:color w:val="auto"/>
                <w:kern w:val="0"/>
                <w:sz w:val="24"/>
              </w:rPr>
              <w:t>章节目录</w:t>
            </w:r>
          </w:p>
        </w:tc>
        <w:tc>
          <w:tcPr>
            <w:tcW w:w="953" w:type="dxa"/>
            <w:vAlign w:val="center"/>
          </w:tcPr>
          <w:p>
            <w:pPr>
              <w:overflowPunct w:val="0"/>
              <w:jc w:val="center"/>
              <w:rPr>
                <w:bCs/>
                <w:color w:val="auto"/>
                <w:kern w:val="0"/>
                <w:sz w:val="24"/>
              </w:rPr>
            </w:pPr>
            <w:r>
              <w:rPr>
                <w:bCs/>
                <w:color w:val="auto"/>
                <w:kern w:val="0"/>
                <w:sz w:val="24"/>
              </w:rPr>
              <w:t>R</w:t>
            </w:r>
          </w:p>
        </w:tc>
        <w:tc>
          <w:tcPr>
            <w:tcW w:w="5728" w:type="dxa"/>
            <w:vAlign w:val="center"/>
          </w:tcPr>
          <w:p>
            <w:pPr>
              <w:keepNext w:val="0"/>
              <w:keepLines w:val="0"/>
              <w:pageBreakBefore w:val="0"/>
              <w:kinsoku/>
              <w:wordWrap/>
              <w:topLinePunct w:val="0"/>
              <w:autoSpaceDE/>
              <w:autoSpaceDN/>
              <w:bidi w:val="0"/>
              <w:adjustRightInd/>
              <w:snapToGrid/>
              <w:spacing w:line="360" w:lineRule="exact"/>
              <w:jc w:val="left"/>
              <w:textAlignment w:val="auto"/>
              <w:rPr>
                <w:color w:val="auto"/>
                <w:kern w:val="0"/>
                <w:sz w:val="24"/>
              </w:rPr>
            </w:pPr>
            <w:r>
              <w:rPr>
                <w:rFonts w:hint="eastAsia"/>
                <w:color w:val="auto"/>
                <w:kern w:val="0"/>
                <w:sz w:val="24"/>
              </w:rPr>
              <w:t>应当包括本章的所有标题和小标题，注明目录中各内容的页码。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990" w:type="dxa"/>
            <w:vAlign w:val="center"/>
          </w:tcPr>
          <w:p>
            <w:pPr>
              <w:widowControl/>
              <w:jc w:val="center"/>
              <w:rPr>
                <w:b/>
                <w:bCs/>
                <w:color w:val="auto"/>
                <w:kern w:val="0"/>
                <w:sz w:val="24"/>
              </w:rPr>
            </w:pPr>
            <w:r>
              <w:rPr>
                <w:b/>
                <w:bCs/>
                <w:color w:val="auto"/>
                <w:kern w:val="0"/>
                <w:sz w:val="24"/>
              </w:rPr>
              <w:t>CH</w:t>
            </w:r>
            <w:r>
              <w:rPr>
                <w:rFonts w:hint="eastAsia"/>
                <w:b/>
                <w:bCs/>
                <w:color w:val="auto"/>
                <w:kern w:val="0"/>
                <w:sz w:val="24"/>
              </w:rPr>
              <w:t>2</w:t>
            </w:r>
            <w:r>
              <w:rPr>
                <w:b/>
                <w:bCs/>
                <w:color w:val="auto"/>
                <w:kern w:val="0"/>
                <w:sz w:val="24"/>
              </w:rPr>
              <w:t>.</w:t>
            </w:r>
            <w:r>
              <w:rPr>
                <w:rFonts w:hint="eastAsia"/>
                <w:b/>
                <w:bCs/>
                <w:color w:val="auto"/>
                <w:kern w:val="0"/>
                <w:sz w:val="24"/>
              </w:rPr>
              <w:t>2</w:t>
            </w:r>
          </w:p>
        </w:tc>
        <w:tc>
          <w:tcPr>
            <w:tcW w:w="2232" w:type="dxa"/>
            <w:vAlign w:val="center"/>
          </w:tcPr>
          <w:p>
            <w:pPr>
              <w:overflowPunct w:val="0"/>
              <w:jc w:val="left"/>
              <w:rPr>
                <w:bCs/>
                <w:color w:val="auto"/>
                <w:kern w:val="0"/>
                <w:sz w:val="24"/>
              </w:rPr>
            </w:pPr>
            <w:r>
              <w:rPr>
                <w:rFonts w:hint="eastAsia"/>
                <w:bCs/>
                <w:color w:val="auto"/>
                <w:kern w:val="0"/>
                <w:sz w:val="24"/>
              </w:rPr>
              <w:t>产品描述</w:t>
            </w:r>
          </w:p>
        </w:tc>
        <w:tc>
          <w:tcPr>
            <w:tcW w:w="953" w:type="dxa"/>
            <w:vAlign w:val="center"/>
          </w:tcPr>
          <w:p>
            <w:pPr>
              <w:overflowPunct w:val="0"/>
              <w:jc w:val="center"/>
              <w:rPr>
                <w:bCs/>
                <w:color w:val="auto"/>
                <w:kern w:val="0"/>
                <w:sz w:val="24"/>
              </w:rPr>
            </w:pPr>
            <w:r>
              <w:rPr>
                <w:bCs/>
                <w:color w:val="auto"/>
                <w:kern w:val="0"/>
                <w:sz w:val="24"/>
              </w:rPr>
              <w:t>R</w:t>
            </w:r>
          </w:p>
        </w:tc>
        <w:tc>
          <w:tcPr>
            <w:tcW w:w="5728" w:type="dxa"/>
            <w:vAlign w:val="center"/>
          </w:tcPr>
          <w:p>
            <w:pPr>
              <w:keepNext w:val="0"/>
              <w:keepLines w:val="0"/>
              <w:pageBreakBefore w:val="0"/>
              <w:widowControl/>
              <w:suppressLineNumbers w:val="0"/>
              <w:kinsoku/>
              <w:wordWrap/>
              <w:topLinePunct w:val="0"/>
              <w:autoSpaceDE/>
              <w:autoSpaceDN/>
              <w:bidi w:val="0"/>
              <w:adjustRightInd/>
              <w:snapToGrid/>
              <w:spacing w:line="360" w:lineRule="exact"/>
              <w:jc w:val="left"/>
              <w:textAlignment w:val="auto"/>
              <w:rPr>
                <w:rFonts w:hint="default"/>
                <w:bCs/>
                <w:color w:val="auto"/>
                <w:kern w:val="0"/>
                <w:sz w:val="24"/>
                <w:lang w:val="en-US"/>
              </w:rPr>
            </w:pPr>
            <w:r>
              <w:rPr>
                <w:rFonts w:ascii="宋体" w:hAnsi="宋体" w:eastAsia="宋体" w:cs="宋体"/>
                <w:color w:val="auto"/>
                <w:kern w:val="0"/>
                <w:sz w:val="24"/>
                <w:szCs w:val="24"/>
                <w:lang w:val="en-US" w:eastAsia="zh-CN" w:bidi="ar"/>
              </w:rPr>
              <w:t>描述本次变更的情况、变更的具体原因及目的</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据产品具体变更情况提供相应文件</w:t>
            </w:r>
            <w:r>
              <w:rPr>
                <w:rFonts w:hint="eastAsia" w:ascii="宋体" w:hAnsi="宋体" w:cs="宋体"/>
                <w:color w:val="auto"/>
                <w:kern w:val="0"/>
                <w:sz w:val="24"/>
                <w:szCs w:val="24"/>
                <w:lang w:val="en-US" w:eastAsia="zh-CN" w:bidi="ar"/>
              </w:rPr>
              <w:t>。</w:t>
            </w:r>
          </w:p>
        </w:tc>
      </w:tr>
    </w:tbl>
    <w:p>
      <w:pPr>
        <w:rPr>
          <w:rFonts w:hint="eastAsia" w:eastAsia="黑体"/>
          <w:bCs/>
          <w:color w:val="auto"/>
          <w:kern w:val="44"/>
          <w:sz w:val="32"/>
          <w:szCs w:val="44"/>
          <w:lang w:val="zh-CN"/>
        </w:rPr>
      </w:pPr>
      <w:r>
        <w:rPr>
          <w:color w:val="auto"/>
          <w:sz w:val="28"/>
          <w:szCs w:val="28"/>
          <w:shd w:val="clear" w:color="auto" w:fill="FFFFFF"/>
        </w:rPr>
        <w:br w:type="page"/>
      </w:r>
      <w:r>
        <w:rPr>
          <w:rFonts w:hint="eastAsia" w:eastAsia="黑体"/>
          <w:bCs/>
          <w:color w:val="auto"/>
          <w:kern w:val="44"/>
          <w:sz w:val="32"/>
          <w:szCs w:val="44"/>
          <w:lang w:val="zh-CN"/>
        </w:rPr>
        <w:t>八、湖南省第二类体外诊断试剂变更备案申报材料电子目录</w:t>
      </w:r>
    </w:p>
    <w:tbl>
      <w:tblPr>
        <w:tblStyle w:val="11"/>
        <w:tblW w:w="99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32"/>
        <w:gridCol w:w="953"/>
        <w:gridCol w:w="5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blHeader/>
          <w:jc w:val="center"/>
        </w:trPr>
        <w:tc>
          <w:tcPr>
            <w:tcW w:w="990" w:type="dxa"/>
            <w:vAlign w:val="center"/>
          </w:tcPr>
          <w:p>
            <w:pPr>
              <w:widowControl/>
              <w:jc w:val="center"/>
              <w:rPr>
                <w:rFonts w:ascii="黑体" w:hAnsi="黑体" w:eastAsia="黑体"/>
                <w:bCs/>
                <w:color w:val="auto"/>
                <w:kern w:val="0"/>
                <w:sz w:val="24"/>
              </w:rPr>
            </w:pPr>
            <w:r>
              <w:rPr>
                <w:rFonts w:ascii="黑体" w:hAnsi="黑体" w:eastAsia="黑体"/>
                <w:bCs/>
                <w:color w:val="auto"/>
                <w:kern w:val="0"/>
                <w:sz w:val="24"/>
              </w:rPr>
              <w:t>编号</w:t>
            </w:r>
          </w:p>
        </w:tc>
        <w:tc>
          <w:tcPr>
            <w:tcW w:w="2232" w:type="dxa"/>
            <w:vAlign w:val="center"/>
          </w:tcPr>
          <w:p>
            <w:pPr>
              <w:widowControl/>
              <w:jc w:val="center"/>
              <w:rPr>
                <w:rFonts w:ascii="黑体" w:hAnsi="黑体" w:eastAsia="黑体"/>
                <w:bCs/>
                <w:color w:val="auto"/>
                <w:kern w:val="0"/>
                <w:sz w:val="24"/>
              </w:rPr>
            </w:pPr>
            <w:r>
              <w:rPr>
                <w:rFonts w:ascii="黑体" w:hAnsi="黑体" w:eastAsia="黑体"/>
                <w:bCs/>
                <w:color w:val="auto"/>
                <w:kern w:val="0"/>
                <w:sz w:val="24"/>
              </w:rPr>
              <w:t>标题</w:t>
            </w:r>
          </w:p>
        </w:tc>
        <w:tc>
          <w:tcPr>
            <w:tcW w:w="953" w:type="dxa"/>
            <w:vAlign w:val="center"/>
          </w:tcPr>
          <w:p>
            <w:pPr>
              <w:widowControl/>
              <w:jc w:val="center"/>
              <w:rPr>
                <w:rFonts w:ascii="黑体" w:hAnsi="黑体" w:eastAsia="黑体"/>
                <w:bCs/>
                <w:color w:val="auto"/>
                <w:kern w:val="0"/>
                <w:sz w:val="24"/>
              </w:rPr>
            </w:pPr>
            <w:r>
              <w:rPr>
                <w:rFonts w:ascii="黑体" w:hAnsi="黑体" w:eastAsia="黑体"/>
                <w:bCs/>
                <w:color w:val="auto"/>
                <w:kern w:val="0"/>
                <w:sz w:val="24"/>
              </w:rPr>
              <w:t>适用</w:t>
            </w:r>
          </w:p>
          <w:p>
            <w:pPr>
              <w:widowControl/>
              <w:jc w:val="center"/>
              <w:rPr>
                <w:rFonts w:ascii="黑体" w:hAnsi="黑体" w:eastAsia="黑体"/>
                <w:bCs/>
                <w:color w:val="auto"/>
                <w:kern w:val="0"/>
                <w:sz w:val="24"/>
              </w:rPr>
            </w:pPr>
            <w:r>
              <w:rPr>
                <w:rFonts w:ascii="黑体" w:hAnsi="黑体" w:eastAsia="黑体"/>
                <w:bCs/>
                <w:color w:val="auto"/>
                <w:kern w:val="0"/>
                <w:sz w:val="24"/>
              </w:rPr>
              <w:t>情况</w:t>
            </w:r>
          </w:p>
        </w:tc>
        <w:tc>
          <w:tcPr>
            <w:tcW w:w="5728" w:type="dxa"/>
            <w:vAlign w:val="center"/>
          </w:tcPr>
          <w:p>
            <w:pPr>
              <w:widowControl/>
              <w:jc w:val="center"/>
              <w:rPr>
                <w:rFonts w:ascii="黑体" w:hAnsi="黑体" w:eastAsia="黑体"/>
                <w:bCs/>
                <w:color w:val="auto"/>
                <w:kern w:val="0"/>
                <w:sz w:val="24"/>
              </w:rPr>
            </w:pPr>
            <w:r>
              <w:rPr>
                <w:rFonts w:ascii="黑体" w:hAnsi="黑体" w:eastAsia="黑体"/>
                <w:bCs/>
                <w:color w:val="auto"/>
                <w:kern w:val="0"/>
                <w:sz w:val="24"/>
              </w:rPr>
              <w:t>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blHeader/>
          <w:jc w:val="center"/>
        </w:trPr>
        <w:tc>
          <w:tcPr>
            <w:tcW w:w="9903" w:type="dxa"/>
            <w:gridSpan w:val="4"/>
            <w:vAlign w:val="center"/>
          </w:tcPr>
          <w:p>
            <w:pPr>
              <w:widowControl/>
              <w:jc w:val="center"/>
              <w:rPr>
                <w:rFonts w:ascii="黑体" w:hAnsi="黑体" w:eastAsia="黑体"/>
                <w:bCs/>
                <w:color w:val="auto"/>
                <w:kern w:val="0"/>
                <w:sz w:val="24"/>
              </w:rPr>
            </w:pPr>
            <w:r>
              <w:rPr>
                <w:b/>
                <w:bCs/>
                <w:color w:val="auto"/>
                <w:kern w:val="0"/>
                <w:sz w:val="24"/>
              </w:rPr>
              <w:t>第1章——</w:t>
            </w:r>
            <w:r>
              <w:rPr>
                <w:rFonts w:hint="eastAsia"/>
                <w:b/>
                <w:bCs/>
                <w:color w:val="auto"/>
                <w:kern w:val="0"/>
                <w:sz w:val="24"/>
              </w:rPr>
              <w:t>监管信息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0" w:type="dxa"/>
            <w:vAlign w:val="center"/>
          </w:tcPr>
          <w:p>
            <w:pPr>
              <w:widowControl/>
              <w:jc w:val="center"/>
              <w:rPr>
                <w:b/>
                <w:bCs/>
                <w:color w:val="auto"/>
                <w:kern w:val="0"/>
                <w:sz w:val="24"/>
              </w:rPr>
            </w:pPr>
            <w:r>
              <w:rPr>
                <w:b/>
                <w:bCs/>
                <w:color w:val="auto"/>
                <w:kern w:val="0"/>
                <w:sz w:val="24"/>
              </w:rPr>
              <w:t>CH</w:t>
            </w:r>
            <w:r>
              <w:rPr>
                <w:rFonts w:hint="eastAsia"/>
                <w:b/>
                <w:bCs/>
                <w:color w:val="auto"/>
                <w:kern w:val="0"/>
                <w:sz w:val="24"/>
              </w:rPr>
              <w:t>1</w:t>
            </w:r>
            <w:r>
              <w:rPr>
                <w:b/>
                <w:bCs/>
                <w:color w:val="auto"/>
                <w:kern w:val="0"/>
                <w:sz w:val="24"/>
              </w:rPr>
              <w:t>.1</w:t>
            </w:r>
          </w:p>
        </w:tc>
        <w:tc>
          <w:tcPr>
            <w:tcW w:w="2232" w:type="dxa"/>
            <w:vAlign w:val="center"/>
          </w:tcPr>
          <w:p>
            <w:pPr>
              <w:overflowPunct w:val="0"/>
              <w:jc w:val="left"/>
              <w:rPr>
                <w:bCs/>
                <w:color w:val="auto"/>
                <w:kern w:val="0"/>
                <w:sz w:val="24"/>
              </w:rPr>
            </w:pPr>
            <w:r>
              <w:rPr>
                <w:rFonts w:hint="eastAsia"/>
                <w:bCs/>
                <w:color w:val="auto"/>
                <w:kern w:val="0"/>
                <w:sz w:val="24"/>
              </w:rPr>
              <w:t>章节目录</w:t>
            </w:r>
          </w:p>
        </w:tc>
        <w:tc>
          <w:tcPr>
            <w:tcW w:w="953" w:type="dxa"/>
            <w:vAlign w:val="center"/>
          </w:tcPr>
          <w:p>
            <w:pPr>
              <w:overflowPunct w:val="0"/>
              <w:jc w:val="center"/>
              <w:rPr>
                <w:bCs/>
                <w:color w:val="auto"/>
                <w:kern w:val="0"/>
                <w:sz w:val="24"/>
              </w:rPr>
            </w:pPr>
            <w:r>
              <w:rPr>
                <w:bCs/>
                <w:color w:val="auto"/>
                <w:kern w:val="0"/>
                <w:sz w:val="24"/>
              </w:rPr>
              <w:t>R</w:t>
            </w:r>
          </w:p>
        </w:tc>
        <w:tc>
          <w:tcPr>
            <w:tcW w:w="5728" w:type="dxa"/>
            <w:vAlign w:val="center"/>
          </w:tcPr>
          <w:p>
            <w:pPr>
              <w:spacing w:line="400" w:lineRule="exact"/>
              <w:jc w:val="left"/>
              <w:rPr>
                <w:color w:val="auto"/>
                <w:kern w:val="0"/>
                <w:sz w:val="24"/>
              </w:rPr>
            </w:pPr>
            <w:r>
              <w:rPr>
                <w:rFonts w:hint="eastAsia"/>
                <w:color w:val="auto"/>
                <w:kern w:val="0"/>
                <w:sz w:val="24"/>
              </w:rPr>
              <w:t>应当包括本章的所有标题和小标题，注明目录中各内容的页码。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990" w:type="dxa"/>
            <w:vAlign w:val="center"/>
          </w:tcPr>
          <w:p>
            <w:pPr>
              <w:widowControl/>
              <w:jc w:val="center"/>
              <w:rPr>
                <w:b/>
                <w:bCs/>
                <w:color w:val="auto"/>
                <w:kern w:val="0"/>
                <w:sz w:val="24"/>
              </w:rPr>
            </w:pPr>
            <w:r>
              <w:rPr>
                <w:b/>
                <w:bCs/>
                <w:color w:val="auto"/>
                <w:kern w:val="0"/>
                <w:sz w:val="24"/>
              </w:rPr>
              <w:t>CH</w:t>
            </w:r>
            <w:r>
              <w:rPr>
                <w:rFonts w:hint="eastAsia"/>
                <w:b/>
                <w:bCs/>
                <w:color w:val="auto"/>
                <w:kern w:val="0"/>
                <w:sz w:val="24"/>
              </w:rPr>
              <w:t>1</w:t>
            </w:r>
            <w:r>
              <w:rPr>
                <w:b/>
                <w:bCs/>
                <w:color w:val="auto"/>
                <w:kern w:val="0"/>
                <w:sz w:val="24"/>
              </w:rPr>
              <w:t>.</w:t>
            </w:r>
            <w:r>
              <w:rPr>
                <w:rFonts w:hint="eastAsia"/>
                <w:b/>
                <w:bCs/>
                <w:color w:val="auto"/>
                <w:kern w:val="0"/>
                <w:sz w:val="24"/>
              </w:rPr>
              <w:t>2</w:t>
            </w:r>
          </w:p>
        </w:tc>
        <w:tc>
          <w:tcPr>
            <w:tcW w:w="2232" w:type="dxa"/>
            <w:vAlign w:val="center"/>
          </w:tcPr>
          <w:p>
            <w:pPr>
              <w:overflowPunct w:val="0"/>
              <w:jc w:val="left"/>
              <w:rPr>
                <w:bCs/>
                <w:color w:val="auto"/>
                <w:kern w:val="0"/>
                <w:sz w:val="24"/>
              </w:rPr>
            </w:pPr>
            <w:r>
              <w:rPr>
                <w:rFonts w:hint="eastAsia"/>
                <w:bCs/>
                <w:color w:val="auto"/>
                <w:kern w:val="0"/>
                <w:sz w:val="24"/>
              </w:rPr>
              <w:t>备案表</w:t>
            </w:r>
          </w:p>
        </w:tc>
        <w:tc>
          <w:tcPr>
            <w:tcW w:w="953" w:type="dxa"/>
            <w:vAlign w:val="center"/>
          </w:tcPr>
          <w:p>
            <w:pPr>
              <w:overflowPunct w:val="0"/>
              <w:jc w:val="center"/>
              <w:rPr>
                <w:bCs/>
                <w:color w:val="auto"/>
                <w:kern w:val="0"/>
                <w:sz w:val="24"/>
                <w:highlight w:val="yellow"/>
              </w:rPr>
            </w:pPr>
            <w:r>
              <w:rPr>
                <w:rFonts w:hint="eastAsia"/>
                <w:bCs/>
                <w:color w:val="auto"/>
                <w:kern w:val="0"/>
                <w:sz w:val="24"/>
              </w:rPr>
              <w:t>R</w:t>
            </w:r>
          </w:p>
        </w:tc>
        <w:tc>
          <w:tcPr>
            <w:tcW w:w="5728" w:type="dxa"/>
            <w:vAlign w:val="center"/>
          </w:tcPr>
          <w:p>
            <w:pPr>
              <w:keepNext w:val="0"/>
              <w:keepLines w:val="0"/>
              <w:pageBreakBefore w:val="0"/>
              <w:widowControl w:val="0"/>
              <w:kinsoku/>
              <w:wordWrap/>
              <w:overflowPunct/>
              <w:topLinePunct w:val="0"/>
              <w:autoSpaceDE/>
              <w:autoSpaceDN/>
              <w:bidi w:val="0"/>
              <w:adjustRightInd/>
              <w:snapToGrid/>
              <w:textAlignment w:val="auto"/>
              <w:outlineLvl w:val="9"/>
              <w:rPr>
                <w:bCs/>
                <w:color w:val="auto"/>
                <w:kern w:val="0"/>
                <w:sz w:val="24"/>
                <w:highlight w:val="yellow"/>
              </w:rPr>
            </w:pPr>
            <w:r>
              <w:rPr>
                <w:color w:val="auto"/>
                <w:sz w:val="22"/>
                <w:szCs w:val="22"/>
              </w:rPr>
              <w:t>在省药品监督管理局医疗器械注册电子申报子系统中填写并加盖电子印章</w:t>
            </w:r>
            <w:r>
              <w:rPr>
                <w:rFonts w:hint="eastAsia"/>
                <w:color w:val="auto"/>
                <w:sz w:val="22"/>
                <w:szCs w:val="22"/>
              </w:rPr>
              <w:t>；样表可在政务服务旗舰店办事指南查看。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990" w:type="dxa"/>
            <w:vAlign w:val="center"/>
          </w:tcPr>
          <w:p>
            <w:pPr>
              <w:widowControl/>
              <w:jc w:val="center"/>
              <w:rPr>
                <w:b/>
                <w:bCs/>
                <w:color w:val="auto"/>
                <w:kern w:val="0"/>
                <w:sz w:val="24"/>
              </w:rPr>
            </w:pPr>
            <w:r>
              <w:rPr>
                <w:b/>
                <w:bCs/>
                <w:color w:val="auto"/>
                <w:kern w:val="0"/>
                <w:sz w:val="24"/>
              </w:rPr>
              <w:t>CH</w:t>
            </w:r>
            <w:r>
              <w:rPr>
                <w:rFonts w:hint="eastAsia"/>
                <w:b/>
                <w:bCs/>
                <w:color w:val="auto"/>
                <w:kern w:val="0"/>
                <w:sz w:val="24"/>
              </w:rPr>
              <w:t>1</w:t>
            </w:r>
            <w:r>
              <w:rPr>
                <w:b/>
                <w:bCs/>
                <w:color w:val="auto"/>
                <w:kern w:val="0"/>
                <w:sz w:val="24"/>
              </w:rPr>
              <w:t>.</w:t>
            </w:r>
            <w:r>
              <w:rPr>
                <w:rFonts w:hint="eastAsia"/>
                <w:b/>
                <w:bCs/>
                <w:color w:val="auto"/>
                <w:kern w:val="0"/>
                <w:sz w:val="24"/>
              </w:rPr>
              <w:t>3</w:t>
            </w:r>
          </w:p>
        </w:tc>
        <w:tc>
          <w:tcPr>
            <w:tcW w:w="2232" w:type="dxa"/>
            <w:vAlign w:val="center"/>
          </w:tcPr>
          <w:p>
            <w:pPr>
              <w:overflowPunct w:val="0"/>
              <w:jc w:val="left"/>
              <w:rPr>
                <w:bCs/>
                <w:color w:val="auto"/>
                <w:kern w:val="0"/>
                <w:sz w:val="24"/>
              </w:rPr>
            </w:pPr>
            <w:r>
              <w:rPr>
                <w:rFonts w:hint="eastAsia"/>
                <w:bCs/>
                <w:color w:val="auto"/>
                <w:kern w:val="0"/>
                <w:sz w:val="24"/>
              </w:rPr>
              <w:t>关联文件</w:t>
            </w:r>
          </w:p>
        </w:tc>
        <w:tc>
          <w:tcPr>
            <w:tcW w:w="953" w:type="dxa"/>
            <w:vAlign w:val="center"/>
          </w:tcPr>
          <w:p>
            <w:pPr>
              <w:overflowPunct w:val="0"/>
              <w:jc w:val="center"/>
              <w:rPr>
                <w:bCs/>
                <w:color w:val="auto"/>
                <w:kern w:val="0"/>
                <w:sz w:val="24"/>
              </w:rPr>
            </w:pPr>
            <w:r>
              <w:rPr>
                <w:bCs/>
                <w:color w:val="auto"/>
                <w:kern w:val="0"/>
                <w:sz w:val="24"/>
              </w:rPr>
              <w:t>R</w:t>
            </w:r>
          </w:p>
        </w:tc>
        <w:tc>
          <w:tcPr>
            <w:tcW w:w="5728" w:type="dxa"/>
            <w:vAlign w:val="center"/>
          </w:tcPr>
          <w:p>
            <w:pPr>
              <w:keepNext w:val="0"/>
              <w:keepLines w:val="0"/>
              <w:widowControl/>
              <w:numPr>
                <w:ilvl w:val="0"/>
                <w:numId w:val="0"/>
              </w:numPr>
              <w:suppressLineNumbers w:val="0"/>
              <w:jc w:val="left"/>
              <w:rPr>
                <w:rFonts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企业营业执照或事业单位法人证书复印件。</w:t>
            </w:r>
          </w:p>
          <w:p>
            <w:pPr>
              <w:overflowPunct w:val="0"/>
              <w:jc w:val="left"/>
              <w:rPr>
                <w:bCs/>
                <w:color w:val="auto"/>
                <w:kern w:val="0"/>
                <w:sz w:val="24"/>
                <w:highlight w:val="yellow"/>
              </w:rPr>
            </w:pPr>
            <w:r>
              <w:rPr>
                <w:rFonts w:ascii="宋体" w:hAnsi="宋体" w:eastAsia="宋体" w:cs="宋体"/>
                <w:color w:val="auto"/>
                <w:kern w:val="0"/>
                <w:sz w:val="24"/>
                <w:szCs w:val="24"/>
                <w:lang w:val="en-US" w:eastAsia="zh-CN" w:bidi="ar"/>
              </w:rPr>
              <w:t>2.提交原医疗器械注册证及其附件的复印件、历次医疗器械变更注册（备案）文件及其附件的复印件。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90" w:type="dxa"/>
            <w:vAlign w:val="center"/>
          </w:tcPr>
          <w:p>
            <w:pPr>
              <w:widowControl/>
              <w:jc w:val="center"/>
              <w:rPr>
                <w:b/>
                <w:bCs/>
                <w:color w:val="auto"/>
                <w:kern w:val="0"/>
                <w:sz w:val="24"/>
              </w:rPr>
            </w:pPr>
            <w:r>
              <w:rPr>
                <w:b/>
                <w:bCs/>
                <w:color w:val="auto"/>
                <w:kern w:val="0"/>
                <w:sz w:val="24"/>
              </w:rPr>
              <w:t>CH</w:t>
            </w:r>
            <w:r>
              <w:rPr>
                <w:rFonts w:hint="eastAsia"/>
                <w:b/>
                <w:bCs/>
                <w:color w:val="auto"/>
                <w:kern w:val="0"/>
                <w:sz w:val="24"/>
              </w:rPr>
              <w:t>1</w:t>
            </w:r>
            <w:r>
              <w:rPr>
                <w:b/>
                <w:bCs/>
                <w:color w:val="auto"/>
                <w:kern w:val="0"/>
                <w:sz w:val="24"/>
              </w:rPr>
              <w:t>.</w:t>
            </w:r>
            <w:r>
              <w:rPr>
                <w:rFonts w:hint="eastAsia"/>
                <w:b/>
                <w:bCs/>
                <w:color w:val="auto"/>
                <w:kern w:val="0"/>
                <w:sz w:val="24"/>
              </w:rPr>
              <w:t>4</w:t>
            </w:r>
          </w:p>
        </w:tc>
        <w:tc>
          <w:tcPr>
            <w:tcW w:w="2232" w:type="dxa"/>
            <w:vAlign w:val="center"/>
          </w:tcPr>
          <w:p>
            <w:pPr>
              <w:overflowPunct w:val="0"/>
              <w:jc w:val="left"/>
              <w:rPr>
                <w:bCs/>
                <w:color w:val="auto"/>
                <w:kern w:val="0"/>
                <w:sz w:val="24"/>
              </w:rPr>
            </w:pPr>
            <w:r>
              <w:rPr>
                <w:rFonts w:hint="eastAsia"/>
                <w:bCs/>
                <w:color w:val="auto"/>
                <w:kern w:val="0"/>
                <w:sz w:val="24"/>
              </w:rPr>
              <w:t>申报产品符合现行国家标准、行业标准的清单</w:t>
            </w:r>
          </w:p>
        </w:tc>
        <w:tc>
          <w:tcPr>
            <w:tcW w:w="953" w:type="dxa"/>
            <w:vAlign w:val="center"/>
          </w:tcPr>
          <w:p>
            <w:pPr>
              <w:overflowPunct w:val="0"/>
              <w:jc w:val="center"/>
              <w:rPr>
                <w:bCs/>
                <w:color w:val="auto"/>
                <w:kern w:val="0"/>
                <w:sz w:val="24"/>
              </w:rPr>
            </w:pPr>
            <w:r>
              <w:rPr>
                <w:bCs/>
                <w:color w:val="auto"/>
                <w:kern w:val="0"/>
                <w:sz w:val="24"/>
              </w:rPr>
              <w:t>R</w:t>
            </w:r>
          </w:p>
        </w:tc>
        <w:tc>
          <w:tcPr>
            <w:tcW w:w="5728" w:type="dxa"/>
            <w:vAlign w:val="center"/>
          </w:tcPr>
          <w:p>
            <w:pPr>
              <w:overflowPunct w:val="0"/>
              <w:jc w:val="left"/>
              <w:rPr>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9903" w:type="dxa"/>
            <w:gridSpan w:val="4"/>
            <w:vAlign w:val="center"/>
          </w:tcPr>
          <w:p>
            <w:pPr>
              <w:widowControl/>
              <w:jc w:val="center"/>
              <w:rPr>
                <w:rFonts w:ascii="黑体" w:hAnsi="黑体" w:eastAsia="黑体"/>
                <w:bCs/>
                <w:color w:val="auto"/>
                <w:kern w:val="0"/>
                <w:sz w:val="24"/>
              </w:rPr>
            </w:pPr>
            <w:r>
              <w:rPr>
                <w:b/>
                <w:bCs/>
                <w:color w:val="auto"/>
                <w:kern w:val="0"/>
                <w:sz w:val="24"/>
              </w:rPr>
              <w:t>第</w:t>
            </w:r>
            <w:r>
              <w:rPr>
                <w:rFonts w:hint="eastAsia"/>
                <w:b/>
                <w:bCs/>
                <w:color w:val="auto"/>
                <w:kern w:val="0"/>
                <w:sz w:val="24"/>
              </w:rPr>
              <w:t>2</w:t>
            </w:r>
            <w:r>
              <w:rPr>
                <w:b/>
                <w:bCs/>
                <w:color w:val="auto"/>
                <w:kern w:val="0"/>
                <w:sz w:val="24"/>
              </w:rPr>
              <w:t>章——</w:t>
            </w:r>
            <w:r>
              <w:rPr>
                <w:rFonts w:hint="eastAsia"/>
                <w:b/>
                <w:bCs/>
                <w:color w:val="auto"/>
                <w:kern w:val="0"/>
                <w:sz w:val="24"/>
              </w:rPr>
              <w:t>综述资料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990" w:type="dxa"/>
            <w:vAlign w:val="center"/>
          </w:tcPr>
          <w:p>
            <w:pPr>
              <w:widowControl/>
              <w:jc w:val="center"/>
              <w:rPr>
                <w:b/>
                <w:bCs/>
                <w:color w:val="auto"/>
                <w:kern w:val="0"/>
                <w:sz w:val="24"/>
              </w:rPr>
            </w:pPr>
            <w:r>
              <w:rPr>
                <w:b/>
                <w:bCs/>
                <w:color w:val="auto"/>
                <w:kern w:val="0"/>
                <w:sz w:val="24"/>
              </w:rPr>
              <w:t>CH</w:t>
            </w:r>
            <w:r>
              <w:rPr>
                <w:rFonts w:hint="eastAsia"/>
                <w:b/>
                <w:bCs/>
                <w:color w:val="auto"/>
                <w:kern w:val="0"/>
                <w:sz w:val="24"/>
              </w:rPr>
              <w:t>2</w:t>
            </w:r>
            <w:r>
              <w:rPr>
                <w:b/>
                <w:bCs/>
                <w:color w:val="auto"/>
                <w:kern w:val="0"/>
                <w:sz w:val="24"/>
              </w:rPr>
              <w:t>.1</w:t>
            </w:r>
          </w:p>
        </w:tc>
        <w:tc>
          <w:tcPr>
            <w:tcW w:w="2232" w:type="dxa"/>
            <w:vAlign w:val="center"/>
          </w:tcPr>
          <w:p>
            <w:pPr>
              <w:overflowPunct w:val="0"/>
              <w:jc w:val="left"/>
              <w:rPr>
                <w:bCs/>
                <w:color w:val="auto"/>
                <w:kern w:val="0"/>
                <w:sz w:val="24"/>
              </w:rPr>
            </w:pPr>
            <w:r>
              <w:rPr>
                <w:rFonts w:hint="eastAsia"/>
                <w:bCs/>
                <w:color w:val="auto"/>
                <w:kern w:val="0"/>
                <w:sz w:val="24"/>
              </w:rPr>
              <w:t>章节目录</w:t>
            </w:r>
          </w:p>
        </w:tc>
        <w:tc>
          <w:tcPr>
            <w:tcW w:w="953" w:type="dxa"/>
            <w:vAlign w:val="center"/>
          </w:tcPr>
          <w:p>
            <w:pPr>
              <w:overflowPunct w:val="0"/>
              <w:jc w:val="center"/>
              <w:rPr>
                <w:bCs/>
                <w:color w:val="auto"/>
                <w:kern w:val="0"/>
                <w:sz w:val="24"/>
              </w:rPr>
            </w:pPr>
            <w:r>
              <w:rPr>
                <w:bCs/>
                <w:color w:val="auto"/>
                <w:kern w:val="0"/>
                <w:sz w:val="24"/>
              </w:rPr>
              <w:t>R</w:t>
            </w:r>
          </w:p>
        </w:tc>
        <w:tc>
          <w:tcPr>
            <w:tcW w:w="5728" w:type="dxa"/>
            <w:vAlign w:val="center"/>
          </w:tcPr>
          <w:p>
            <w:pPr>
              <w:spacing w:line="400" w:lineRule="exact"/>
              <w:jc w:val="left"/>
              <w:rPr>
                <w:color w:val="auto"/>
                <w:kern w:val="0"/>
                <w:sz w:val="24"/>
              </w:rPr>
            </w:pPr>
            <w:r>
              <w:rPr>
                <w:rFonts w:hint="eastAsia"/>
                <w:color w:val="auto"/>
                <w:kern w:val="0"/>
                <w:sz w:val="24"/>
              </w:rPr>
              <w:t>应当包括本章的所有标题和小标题，注明目录中各内容的页码。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990" w:type="dxa"/>
            <w:vAlign w:val="center"/>
          </w:tcPr>
          <w:p>
            <w:pPr>
              <w:widowControl/>
              <w:jc w:val="center"/>
              <w:rPr>
                <w:b/>
                <w:bCs/>
                <w:color w:val="auto"/>
                <w:kern w:val="0"/>
                <w:sz w:val="24"/>
              </w:rPr>
            </w:pPr>
            <w:r>
              <w:rPr>
                <w:b/>
                <w:bCs/>
                <w:color w:val="auto"/>
                <w:kern w:val="0"/>
                <w:sz w:val="24"/>
              </w:rPr>
              <w:t>CH</w:t>
            </w:r>
            <w:r>
              <w:rPr>
                <w:rFonts w:hint="eastAsia"/>
                <w:b/>
                <w:bCs/>
                <w:color w:val="auto"/>
                <w:kern w:val="0"/>
                <w:sz w:val="24"/>
              </w:rPr>
              <w:t>2</w:t>
            </w:r>
            <w:r>
              <w:rPr>
                <w:b/>
                <w:bCs/>
                <w:color w:val="auto"/>
                <w:kern w:val="0"/>
                <w:sz w:val="24"/>
              </w:rPr>
              <w:t>.</w:t>
            </w:r>
            <w:r>
              <w:rPr>
                <w:rFonts w:hint="eastAsia"/>
                <w:b/>
                <w:bCs/>
                <w:color w:val="auto"/>
                <w:kern w:val="0"/>
                <w:sz w:val="24"/>
              </w:rPr>
              <w:t>2</w:t>
            </w:r>
          </w:p>
        </w:tc>
        <w:tc>
          <w:tcPr>
            <w:tcW w:w="2232" w:type="dxa"/>
            <w:vAlign w:val="center"/>
          </w:tcPr>
          <w:p>
            <w:pPr>
              <w:overflowPunct w:val="0"/>
              <w:jc w:val="left"/>
              <w:rPr>
                <w:bCs/>
                <w:color w:val="auto"/>
                <w:kern w:val="0"/>
                <w:sz w:val="24"/>
              </w:rPr>
            </w:pPr>
            <w:r>
              <w:rPr>
                <w:rFonts w:hint="eastAsia"/>
                <w:bCs/>
                <w:color w:val="auto"/>
                <w:kern w:val="0"/>
                <w:sz w:val="24"/>
              </w:rPr>
              <w:t>产品描述</w:t>
            </w:r>
          </w:p>
        </w:tc>
        <w:tc>
          <w:tcPr>
            <w:tcW w:w="953" w:type="dxa"/>
            <w:vAlign w:val="center"/>
          </w:tcPr>
          <w:p>
            <w:pPr>
              <w:overflowPunct w:val="0"/>
              <w:jc w:val="center"/>
              <w:rPr>
                <w:bCs/>
                <w:color w:val="auto"/>
                <w:kern w:val="0"/>
                <w:sz w:val="24"/>
              </w:rPr>
            </w:pPr>
            <w:r>
              <w:rPr>
                <w:bCs/>
                <w:color w:val="auto"/>
                <w:kern w:val="0"/>
                <w:sz w:val="24"/>
              </w:rPr>
              <w:t>R</w:t>
            </w:r>
          </w:p>
        </w:tc>
        <w:tc>
          <w:tcPr>
            <w:tcW w:w="5728" w:type="dxa"/>
            <w:vAlign w:val="center"/>
          </w:tcPr>
          <w:p>
            <w:pPr>
              <w:overflowPunct w:val="0"/>
              <w:jc w:val="left"/>
              <w:rPr>
                <w:bCs/>
                <w:color w:val="auto"/>
                <w:kern w:val="0"/>
                <w:sz w:val="24"/>
              </w:rPr>
            </w:pPr>
            <w:r>
              <w:rPr>
                <w:rFonts w:ascii="宋体" w:hAnsi="宋体" w:eastAsia="宋体" w:cs="宋体"/>
                <w:color w:val="auto"/>
                <w:kern w:val="0"/>
                <w:sz w:val="24"/>
                <w:szCs w:val="24"/>
                <w:lang w:val="en-US" w:eastAsia="zh-CN" w:bidi="ar"/>
              </w:rPr>
              <w:t>描述本次变更的情况、变更的具体原因及目的</w:t>
            </w:r>
            <w:r>
              <w:rPr>
                <w:rFonts w:hint="eastAsia" w:ascii="宋体" w:hAnsi="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据产品具体变更情况提供相应文件</w:t>
            </w:r>
            <w:r>
              <w:rPr>
                <w:rFonts w:hint="eastAsia" w:ascii="宋体" w:hAnsi="宋体" w:cs="宋体"/>
                <w:color w:val="auto"/>
                <w:kern w:val="0"/>
                <w:sz w:val="24"/>
                <w:szCs w:val="24"/>
                <w:lang w:val="en-US" w:eastAsia="zh-CN" w:bidi="ar"/>
              </w:rPr>
              <w:t>。</w:t>
            </w:r>
          </w:p>
        </w:tc>
      </w:tr>
    </w:tbl>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580" w:lineRule="exact"/>
        <w:jc w:val="left"/>
        <w:rPr>
          <w:color w:val="auto"/>
        </w:rPr>
      </w:pPr>
    </w:p>
    <w:p>
      <w:pPr>
        <w:widowControl/>
        <w:spacing w:line="540" w:lineRule="exact"/>
        <w:jc w:val="both"/>
        <w:rPr>
          <w:rFonts w:hint="eastAsia" w:ascii="仿宋_GB2312" w:hAnsi="仿宋_GB2312" w:eastAsia="仿宋_GB2312" w:cs="仿宋_GB2312"/>
          <w:color w:val="auto"/>
          <w:sz w:val="32"/>
          <w:szCs w:val="32"/>
          <w:lang w:val="zh-CN"/>
        </w:rPr>
      </w:pPr>
    </w:p>
    <w:sectPr>
      <w:footerReference r:id="rId4" w:type="default"/>
      <w:footerReference r:id="rId5" w:type="even"/>
      <w:pgSz w:w="11906" w:h="16838"/>
      <w:pgMar w:top="1587" w:right="1474" w:bottom="1474" w:left="1474" w:header="851" w:footer="907" w:gutter="0"/>
      <w:pgNumType w:fmt="numberInDash"/>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Qij4xgEAAGsDAAAOAAAAAAAAAAEAIAAAAB4BAABkcnMvZTJvRG9jLnht&#10;bFBLBQYAAAAABgAGAFkBAABWBQ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2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GV8HOjFAQAAawMAAA4AAAAAAAAAAQAgAAAAHgEAAGRycy9lMm9Eb2MueG1s&#10;UEsFBgAAAAAGAAYAWQEAAFUFA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NGYxZDA5ZmQ2ZTUwMjA3NDZkYThjNmRjOTVhZjUifQ=="/>
  </w:docVars>
  <w:rsids>
    <w:rsidRoot w:val="00000000"/>
    <w:rsid w:val="059E7B97"/>
    <w:rsid w:val="0CEE23AF"/>
    <w:rsid w:val="0FBD231E"/>
    <w:rsid w:val="1FFFFEF8"/>
    <w:rsid w:val="22BF71F5"/>
    <w:rsid w:val="33353039"/>
    <w:rsid w:val="376B6508"/>
    <w:rsid w:val="37FFA2CA"/>
    <w:rsid w:val="3EAB0813"/>
    <w:rsid w:val="3F1DE65D"/>
    <w:rsid w:val="435F0EA0"/>
    <w:rsid w:val="497F554E"/>
    <w:rsid w:val="51B43229"/>
    <w:rsid w:val="57E63108"/>
    <w:rsid w:val="593B3689"/>
    <w:rsid w:val="5E40270F"/>
    <w:rsid w:val="60C74E08"/>
    <w:rsid w:val="64FF15AE"/>
    <w:rsid w:val="6B5D6097"/>
    <w:rsid w:val="6F7DDF6C"/>
    <w:rsid w:val="707621E3"/>
    <w:rsid w:val="708D6C99"/>
    <w:rsid w:val="756DA6C1"/>
    <w:rsid w:val="75FD7952"/>
    <w:rsid w:val="777F4D69"/>
    <w:rsid w:val="7B9A477E"/>
    <w:rsid w:val="7CBEAED1"/>
    <w:rsid w:val="7D7E89D7"/>
    <w:rsid w:val="7FA9B104"/>
    <w:rsid w:val="7FB95782"/>
    <w:rsid w:val="7FBB6AEA"/>
    <w:rsid w:val="7FD24666"/>
    <w:rsid w:val="9B3B8EBA"/>
    <w:rsid w:val="9F77525F"/>
    <w:rsid w:val="9F7FDEAD"/>
    <w:rsid w:val="AE7F72A1"/>
    <w:rsid w:val="B7FDA393"/>
    <w:rsid w:val="BEBDEB37"/>
    <w:rsid w:val="CBF7C14E"/>
    <w:rsid w:val="CFFC4479"/>
    <w:rsid w:val="E1FD1154"/>
    <w:rsid w:val="EBDF610C"/>
    <w:rsid w:val="EDFC0276"/>
    <w:rsid w:val="EFAF9C94"/>
    <w:rsid w:val="F7EFD3DD"/>
    <w:rsid w:val="FB7EEEBB"/>
    <w:rsid w:val="FBDCA568"/>
    <w:rsid w:val="FBFEA50C"/>
    <w:rsid w:val="FFF8A1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4">
    <w:name w:val="heading 5"/>
    <w:basedOn w:val="1"/>
    <w:next w:val="1"/>
    <w:unhideWhenUsed/>
    <w:qFormat/>
    <w:uiPriority w:val="0"/>
    <w:pPr>
      <w:jc w:val="left"/>
      <w:outlineLvl w:val="4"/>
    </w:pPr>
    <w:rPr>
      <w:rFonts w:hint="eastAsia" w:ascii="微软雅黑" w:hAnsi="微软雅黑" w:eastAsia="微软雅黑" w:cs="Times New Roman"/>
      <w:b/>
      <w:color w:val="333333"/>
      <w:kern w:val="0"/>
      <w:sz w:val="24"/>
    </w:rPr>
  </w:style>
  <w:style w:type="character" w:default="1" w:styleId="8">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Emphasis"/>
    <w:basedOn w:val="8"/>
    <w:qFormat/>
    <w:uiPriority w:val="0"/>
    <w:rPr>
      <w:i/>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32564</Words>
  <Characters>34785</Characters>
  <Lines>0</Lines>
  <Paragraphs>0</Paragraphs>
  <TotalTime>0</TotalTime>
  <ScaleCrop>false</ScaleCrop>
  <LinksUpToDate>false</LinksUpToDate>
  <CharactersWithSpaces>34882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Administrator</cp:lastModifiedBy>
  <cp:lastPrinted>2024-08-22T15:04:59Z</cp:lastPrinted>
  <dcterms:modified xsi:type="dcterms:W3CDTF">2024-08-22T09:39:58Z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615AC2815C9F477EB4C7487CA1DF3C7B_13</vt:lpwstr>
  </property>
</Properties>
</file>