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附件3</w:t>
      </w:r>
    </w:p>
    <w:p>
      <w:pPr>
        <w:pStyle w:val="2"/>
        <w:spacing w:before="0" w:line="520" w:lineRule="exact"/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湖南省药学专业（非临床单位）高级职称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申报条件</w:t>
      </w:r>
    </w:p>
    <w:p>
      <w:pPr>
        <w:spacing w:line="580" w:lineRule="exact"/>
        <w:ind w:firstLine="640" w:firstLineChars="200"/>
        <w:rPr>
          <w:rFonts w:eastAsia="黑体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一、学历（学位）与资历要求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（一）主任药师（主任中药师）</w:t>
      </w:r>
    </w:p>
    <w:p>
      <w:p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获得药学类、中药学类及相关专业大学本科</w:t>
      </w:r>
      <w:r>
        <w:rPr>
          <w:rFonts w:hint="eastAsia" w:eastAsia="仿宋_GB2312"/>
          <w:sz w:val="32"/>
          <w:szCs w:val="32"/>
        </w:rPr>
        <w:t>及以上</w:t>
      </w:r>
      <w:r>
        <w:rPr>
          <w:rFonts w:eastAsia="仿宋_GB2312"/>
          <w:sz w:val="32"/>
          <w:szCs w:val="32"/>
        </w:rPr>
        <w:t>学历</w:t>
      </w:r>
      <w:r>
        <w:rPr>
          <w:rFonts w:hint="eastAsia" w:eastAsia="仿宋_GB2312"/>
          <w:sz w:val="32"/>
          <w:szCs w:val="32"/>
        </w:rPr>
        <w:t>、或学士及以上学位、</w:t>
      </w:r>
      <w:r>
        <w:rPr>
          <w:rFonts w:eastAsia="仿宋_GB2312"/>
          <w:sz w:val="32"/>
          <w:szCs w:val="32"/>
        </w:rPr>
        <w:t>或技工院校预备技师（技师）班毕业，</w:t>
      </w:r>
      <w:r>
        <w:rPr>
          <w:rFonts w:eastAsia="仿宋_GB2312"/>
          <w:color w:val="000000"/>
          <w:sz w:val="32"/>
          <w:szCs w:val="32"/>
        </w:rPr>
        <w:t>取得副主任药师</w:t>
      </w:r>
      <w:r>
        <w:rPr>
          <w:rFonts w:hint="eastAsia" w:eastAsia="仿宋_GB2312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副主任中药师</w:t>
      </w:r>
      <w:r>
        <w:rPr>
          <w:rFonts w:hint="eastAsia" w:eastAsia="仿宋_GB2312"/>
          <w:color w:val="00000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</w:rPr>
        <w:t>职称，并被聘任5年以上。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（二）副主任药师（副主任中药师）</w:t>
      </w:r>
    </w:p>
    <w:p>
      <w:pPr>
        <w:spacing w:line="580" w:lineRule="exact"/>
        <w:ind w:firstLine="643" w:firstLineChars="200"/>
        <w:rPr>
          <w:rFonts w:hint="eastAsia"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须具备下列条件之一</w:t>
      </w:r>
      <w:r>
        <w:rPr>
          <w:rFonts w:hint="eastAsia" w:eastAsia="仿宋_GB2312"/>
          <w:b/>
          <w:bCs/>
          <w:color w:val="000000"/>
          <w:sz w:val="32"/>
          <w:szCs w:val="32"/>
        </w:rPr>
        <w:t>：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药学类、中药学类及相关专业博士后人员完成博士后研究工作，经考核合格出站。</w:t>
      </w:r>
    </w:p>
    <w:p>
      <w:pPr>
        <w:spacing w:line="580" w:lineRule="exact"/>
        <w:ind w:firstLine="640" w:firstLineChars="2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2. </w:t>
      </w:r>
      <w:r>
        <w:rPr>
          <w:rFonts w:eastAsia="仿宋_GB2312"/>
          <w:sz w:val="32"/>
          <w:szCs w:val="32"/>
        </w:rPr>
        <w:t>获得药学类、中药学类及相关专业大学本科</w:t>
      </w:r>
      <w:r>
        <w:rPr>
          <w:rFonts w:hint="eastAsia" w:eastAsia="仿宋_GB2312"/>
          <w:sz w:val="32"/>
          <w:szCs w:val="32"/>
        </w:rPr>
        <w:t>及以上</w:t>
      </w:r>
      <w:r>
        <w:rPr>
          <w:rFonts w:eastAsia="仿宋_GB2312"/>
          <w:sz w:val="32"/>
          <w:szCs w:val="32"/>
        </w:rPr>
        <w:t>学历</w:t>
      </w:r>
      <w:r>
        <w:rPr>
          <w:rFonts w:hint="eastAsia" w:eastAsia="仿宋_GB2312"/>
          <w:sz w:val="32"/>
          <w:szCs w:val="32"/>
        </w:rPr>
        <w:t>、或学士及以上学位、</w:t>
      </w:r>
      <w:r>
        <w:rPr>
          <w:rFonts w:eastAsia="仿宋_GB2312"/>
          <w:sz w:val="32"/>
          <w:szCs w:val="32"/>
        </w:rPr>
        <w:t>或技工院校预备技师（技师）班毕业，</w:t>
      </w:r>
      <w:r>
        <w:rPr>
          <w:rFonts w:eastAsia="仿宋_GB2312"/>
          <w:color w:val="000000"/>
          <w:sz w:val="32"/>
          <w:szCs w:val="32"/>
        </w:rPr>
        <w:t>取得主管药师（主管中药师）职称或执业药师职业资格，并被聘任或执业</w:t>
      </w:r>
      <w:r>
        <w:rPr>
          <w:rFonts w:hint="eastAsia" w:eastAsia="仿宋_GB2312"/>
          <w:color w:val="000000"/>
          <w:sz w:val="32"/>
          <w:szCs w:val="32"/>
        </w:rPr>
        <w:t>5</w:t>
      </w:r>
      <w:r>
        <w:rPr>
          <w:rFonts w:eastAsia="仿宋_GB2312"/>
          <w:color w:val="000000"/>
          <w:sz w:val="32"/>
          <w:szCs w:val="32"/>
        </w:rPr>
        <w:t>年以上。</w:t>
      </w:r>
    </w:p>
    <w:p>
      <w:pPr>
        <w:spacing w:line="580" w:lineRule="exact"/>
        <w:ind w:firstLine="640" w:firstLineChars="2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3. </w:t>
      </w:r>
      <w:r>
        <w:rPr>
          <w:rFonts w:eastAsia="仿宋_GB2312"/>
          <w:color w:val="000000"/>
          <w:sz w:val="32"/>
          <w:szCs w:val="32"/>
        </w:rPr>
        <w:t>获得药学类、中药学类及相关专业大学专科学历或技工院校高级技工班毕业，在非公有制经济组织和社会组织、或县及以下企事业单位工作，取得主管药师（主管中药师）职称或执业药师职业资格，并被聘任或执业7年以上</w:t>
      </w:r>
      <w:r>
        <w:rPr>
          <w:rFonts w:ascii="楷体_GB2312" w:hAnsi="楷体_GB2312" w:eastAsia="楷体_GB2312" w:cs="楷体_GB2312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hint="eastAsia" w:eastAsia="仿宋_GB2312"/>
          <w:color w:val="000000"/>
          <w:sz w:val="32"/>
          <w:szCs w:val="32"/>
        </w:rPr>
        <w:t>三</w:t>
      </w:r>
      <w:r>
        <w:rPr>
          <w:rFonts w:eastAsia="仿宋_GB2312"/>
          <w:color w:val="000000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在</w:t>
      </w:r>
      <w:r>
        <w:rPr>
          <w:rFonts w:hint="eastAsia" w:eastAsia="仿宋_GB2312"/>
          <w:sz w:val="32"/>
          <w:szCs w:val="32"/>
        </w:rPr>
        <w:t>药品、医疗器械、化妆品（以下简称“药械化”）相关专业</w:t>
      </w:r>
      <w:r>
        <w:rPr>
          <w:rFonts w:eastAsia="仿宋_GB2312"/>
          <w:sz w:val="32"/>
          <w:szCs w:val="32"/>
        </w:rPr>
        <w:t>岗位工作的</w:t>
      </w:r>
      <w:r>
        <w:rPr>
          <w:rFonts w:hint="eastAsia" w:eastAsia="仿宋_GB2312"/>
          <w:sz w:val="32"/>
          <w:szCs w:val="32"/>
        </w:rPr>
        <w:t>专业技术人员</w:t>
      </w:r>
      <w:r>
        <w:rPr>
          <w:rFonts w:eastAsia="仿宋_GB2312"/>
          <w:sz w:val="32"/>
          <w:szCs w:val="32"/>
        </w:rPr>
        <w:t>，具有卫生、工程（</w:t>
      </w:r>
      <w:r>
        <w:rPr>
          <w:rFonts w:eastAsia="仿宋_GB2312"/>
          <w:color w:val="000000"/>
          <w:sz w:val="32"/>
          <w:szCs w:val="32"/>
        </w:rPr>
        <w:t>专业与药械</w:t>
      </w:r>
      <w:r>
        <w:rPr>
          <w:rFonts w:hint="eastAsia" w:eastAsia="仿宋_GB2312"/>
          <w:color w:val="000000"/>
          <w:sz w:val="32"/>
          <w:szCs w:val="32"/>
        </w:rPr>
        <w:t>化</w:t>
      </w:r>
      <w:r>
        <w:rPr>
          <w:rFonts w:eastAsia="仿宋_GB2312"/>
          <w:color w:val="000000"/>
          <w:sz w:val="32"/>
          <w:szCs w:val="32"/>
        </w:rPr>
        <w:t>相关</w:t>
      </w:r>
      <w:r>
        <w:rPr>
          <w:rFonts w:hint="eastAsia" w:eastAsia="仿宋_GB2312"/>
          <w:color w:val="000000"/>
          <w:sz w:val="32"/>
          <w:szCs w:val="32"/>
        </w:rPr>
        <w:t>或</w:t>
      </w:r>
      <w:r>
        <w:rPr>
          <w:rFonts w:eastAsia="仿宋_GB2312"/>
          <w:color w:val="000000"/>
          <w:sz w:val="32"/>
          <w:szCs w:val="32"/>
        </w:rPr>
        <w:t>相近）</w:t>
      </w:r>
      <w:r>
        <w:rPr>
          <w:rFonts w:eastAsia="仿宋_GB2312"/>
          <w:sz w:val="32"/>
          <w:szCs w:val="32"/>
        </w:rPr>
        <w:t>、自然科学</w:t>
      </w:r>
      <w:r>
        <w:rPr>
          <w:rFonts w:hint="eastAsia" w:eastAsia="仿宋_GB2312"/>
          <w:sz w:val="32"/>
          <w:szCs w:val="32"/>
        </w:rPr>
        <w:t>研究</w:t>
      </w:r>
      <w:r>
        <w:rPr>
          <w:rFonts w:eastAsia="仿宋_GB2312"/>
          <w:sz w:val="32"/>
          <w:szCs w:val="32"/>
        </w:rPr>
        <w:t>（专业与医药相关或相近）等系列职称，</w:t>
      </w:r>
      <w:r>
        <w:rPr>
          <w:rFonts w:hint="eastAsia" w:eastAsia="仿宋_GB2312"/>
          <w:sz w:val="32"/>
          <w:szCs w:val="32"/>
        </w:rPr>
        <w:t>符合相应</w:t>
      </w:r>
      <w:r>
        <w:rPr>
          <w:rFonts w:eastAsia="仿宋_GB2312"/>
          <w:sz w:val="32"/>
          <w:szCs w:val="32"/>
        </w:rPr>
        <w:t>学历</w:t>
      </w:r>
      <w:r>
        <w:rPr>
          <w:rFonts w:hint="eastAsia" w:eastAsia="仿宋_GB2312"/>
          <w:sz w:val="32"/>
          <w:szCs w:val="32"/>
        </w:rPr>
        <w:t>、专业及</w:t>
      </w:r>
      <w:r>
        <w:rPr>
          <w:rFonts w:eastAsia="仿宋_GB2312"/>
          <w:sz w:val="32"/>
          <w:szCs w:val="32"/>
        </w:rPr>
        <w:t>资历要求，可根据工作需要申报</w:t>
      </w:r>
      <w:r>
        <w:rPr>
          <w:rFonts w:hint="eastAsia" w:eastAsia="仿宋_GB2312"/>
          <w:sz w:val="32"/>
          <w:szCs w:val="32"/>
        </w:rPr>
        <w:t>高一层级</w:t>
      </w:r>
      <w:r>
        <w:rPr>
          <w:rFonts w:eastAsia="仿宋_GB2312"/>
          <w:sz w:val="32"/>
          <w:szCs w:val="32"/>
        </w:rPr>
        <w:t>或转评</w:t>
      </w:r>
      <w:r>
        <w:rPr>
          <w:rFonts w:hint="eastAsia" w:eastAsia="仿宋_GB2312"/>
          <w:sz w:val="32"/>
          <w:szCs w:val="32"/>
        </w:rPr>
        <w:t>同一层级</w:t>
      </w:r>
      <w:r>
        <w:rPr>
          <w:rFonts w:eastAsia="仿宋_GB2312"/>
          <w:sz w:val="32"/>
          <w:szCs w:val="32"/>
        </w:rPr>
        <w:t>药学专业（非临床单位）职称。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（四）</w:t>
      </w:r>
      <w:r>
        <w:rPr>
          <w:rFonts w:eastAsia="仿宋_GB2312"/>
          <w:color w:val="000000"/>
          <w:sz w:val="32"/>
          <w:szCs w:val="32"/>
        </w:rPr>
        <w:t>学历（学位）要求是指国家承认的药学类及相关专业学历。所称药学类相关专业是指：医学（药学类除外）、化学、生物及生物科学、制药工程、应用药学、药品检验检测、食品药品监督管理、食品（所学专业课程中须包含化学、生物化学等专业课）等专业。学历（学位）证书上注明“全日制”、“脱产”字样的，归为全脱产类学历，此类学历人员聘期须减去学习时间；学历（学位）证书上注明“在职”、“函授”字样的，归为在职类学历，此类人员聘期不受影响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hint="eastAsia" w:eastAsia="仿宋_GB2312"/>
          <w:color w:val="000000"/>
          <w:sz w:val="32"/>
          <w:szCs w:val="32"/>
        </w:rPr>
        <w:t>五</w:t>
      </w:r>
      <w:r>
        <w:rPr>
          <w:rFonts w:eastAsia="仿宋_GB2312"/>
          <w:color w:val="000000"/>
          <w:sz w:val="32"/>
          <w:szCs w:val="32"/>
        </w:rPr>
        <w:t>）根据《湖南省创新民营企业专业技术人才职称评审10条措施》精神，民营企业专技人才未获得中级职称，但成绩突出、贡献卓著的（须</w:t>
      </w:r>
      <w:r>
        <w:rPr>
          <w:rFonts w:hint="eastAsia" w:eastAsia="仿宋_GB2312"/>
          <w:color w:val="000000"/>
          <w:sz w:val="32"/>
          <w:szCs w:val="32"/>
        </w:rPr>
        <w:t>提供</w:t>
      </w:r>
      <w:r>
        <w:rPr>
          <w:rFonts w:eastAsia="仿宋_GB2312"/>
          <w:color w:val="000000"/>
          <w:sz w:val="32"/>
          <w:szCs w:val="32"/>
        </w:rPr>
        <w:t>相关佐证材料），根据其从事专技工作时间，在满足相应系列</w:t>
      </w:r>
      <w:r>
        <w:rPr>
          <w:rFonts w:hint="eastAsia" w:eastAsia="仿宋_GB2312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专业</w:t>
      </w:r>
      <w:r>
        <w:rPr>
          <w:rFonts w:hint="eastAsia" w:eastAsia="仿宋_GB2312"/>
          <w:color w:val="00000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</w:rPr>
        <w:t>晋升要求的基础上，经由民营企业考核推荐，可比照我省同类专技人才正常申报年限超出4年，直接申报参评副高级职称。</w:t>
      </w:r>
    </w:p>
    <w:p>
      <w:pPr>
        <w:spacing w:line="58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</w:t>
      </w:r>
      <w:r>
        <w:rPr>
          <w:rFonts w:hint="eastAsia" w:eastAsia="黑体"/>
          <w:color w:val="000000"/>
          <w:sz w:val="32"/>
          <w:szCs w:val="32"/>
        </w:rPr>
        <w:t>不得申报情形及相关事项</w:t>
      </w:r>
    </w:p>
    <w:p>
      <w:pPr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因涉嫌经济或其它重大问题正在立案审查尚未结案,或被采取强制措施和受刑事处罚期间的，不得申报参加职称评审。受到党纪政务处分的，涉及职称申报晋升的，执行《关于党纪政务处分决定执行工作的实施办法（试行）》（湘纪发〔2022〕3 号）相关规定。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对违背诚信承诺、有弄虚作假行为的申报参评人员实行职称评审“一票否决”，取消其申报参评资格；倡导科学精神，坚守道德底线，对违规违纪问题实行“零容忍”，对学术造假实行“一票否决”。对通过弄虚作假、隐瞒歪曲事实真相、不如实填报相关信息、暗箱操作及程序不当等违纪违规行为取得的职称予以撤销。对违纪违规的申报参评人员予以通报，通报结果连续 3个年度提交至相应评委会供评委参考。失信行为记入《个人失信记录表》，放置个人档案留存，纳入信用信息共享平台；情节严重的，通知所在单位按照规定进行党纪、政纪追责处理；涉嫌违法的，追究其法律责任。</w:t>
      </w:r>
    </w:p>
    <w:p>
      <w:pPr>
        <w:spacing w:line="560" w:lineRule="exact"/>
        <w:ind w:firstLine="640" w:firstLineChars="200"/>
      </w:pPr>
      <w:r>
        <w:rPr>
          <w:rFonts w:eastAsia="仿宋_GB2312"/>
          <w:color w:val="000000"/>
          <w:sz w:val="32"/>
          <w:szCs w:val="32"/>
        </w:rPr>
        <w:t>建立健全追溯追责复核机制，无论什么时候，经核查发现申报参评人员有通过提供虚假材料、剽窃学术成果或通过其他不正当手段等违纪违规取得职称的行为，一律撤销其相应职称，据此获得的后续职称或其他权益，也一律一并取消。</w:t>
      </w:r>
      <w:bookmarkStart w:id="0" w:name="_GoBack"/>
      <w:bookmarkEnd w:id="0"/>
    </w:p>
    <w:sectPr>
      <w:pgSz w:w="11906" w:h="16838"/>
      <w:pgMar w:top="1587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Dubai">
    <w:panose1 w:val="020B0503030403030204"/>
    <w:charset w:val="00"/>
    <w:family w:val="auto"/>
    <w:pitch w:val="default"/>
    <w:sig w:usb0="80002067" w:usb1="80000000" w:usb2="00000008" w:usb3="00000000" w:csb0="20000041" w:csb1="00000000"/>
  </w:font>
  <w:font w:name="Dubai Light">
    <w:panose1 w:val="020B0303030403030204"/>
    <w:charset w:val="00"/>
    <w:family w:val="auto"/>
    <w:pitch w:val="default"/>
    <w:sig w:usb0="80002067" w:usb1="80000000" w:usb2="00000008" w:usb3="00000000" w:csb0="20000041" w:csb1="00000000"/>
  </w:font>
  <w:font w:name="Dubai Medium">
    <w:panose1 w:val="020B0603030403030204"/>
    <w:charset w:val="00"/>
    <w:family w:val="auto"/>
    <w:pitch w:val="default"/>
    <w:sig w:usb0="80002067" w:usb1="80000000" w:usb2="00000008" w:usb3="00000000" w:csb0="2000004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icrosoft Uighur">
    <w:panose1 w:val="02000000000000000000"/>
    <w:charset w:val="00"/>
    <w:family w:val="auto"/>
    <w:pitch w:val="default"/>
    <w:sig w:usb0="80002023" w:usb1="80000002" w:usb2="00000008" w:usb3="00000000" w:csb0="0000004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altName w:val="Segoe Print"/>
    <w:panose1 w:val="020B0606030804020204"/>
    <w:charset w:val="00"/>
    <w:family w:val="auto"/>
    <w:pitch w:val="default"/>
    <w:sig w:usb0="00000000" w:usb1="00000000" w:usb2="00000028" w:usb3="00000000" w:csb0="2000019F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Miriam Fixed">
    <w:altName w:val="Yu Gothic UI"/>
    <w:panose1 w:val="020B0509050101010101"/>
    <w:charset w:val="00"/>
    <w:family w:val="auto"/>
    <w:pitch w:val="default"/>
    <w:sig w:usb0="00000000" w:usb1="00000000" w:usb2="00000000" w:usb3="00000000" w:csb0="00000020" w:csb1="002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Vijay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Miriam">
    <w:altName w:val="Yu Gothic UI"/>
    <w:panose1 w:val="020B0502050101010101"/>
    <w:charset w:val="00"/>
    <w:family w:val="auto"/>
    <w:pitch w:val="default"/>
    <w:sig w:usb0="00000000" w:usb1="00000000" w:usb2="00000000" w:usb3="00000000" w:csb0="00000020" w:csb1="00200000"/>
  </w:font>
  <w:font w:name="Lath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DaunPenh">
    <w:altName w:val="Microsoft Himalaya"/>
    <w:panose1 w:val="01010101010101010101"/>
    <w:charset w:val="00"/>
    <w:family w:val="auto"/>
    <w:pitch w:val="default"/>
    <w:sig w:usb0="00000000" w:usb1="00000000" w:usb2="00010000" w:usb3="00000000" w:csb0="0000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Britannic Bold">
    <w:altName w:val="Yu Gothic UI Semibold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Browallia New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owallia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Exotc350 Bd BT">
    <w:altName w:val="Gabriola"/>
    <w:panose1 w:val="04030805050B02020A03"/>
    <w:charset w:val="00"/>
    <w:family w:val="auto"/>
    <w:pitch w:val="default"/>
    <w:sig w:usb0="00000000" w:usb1="00000000" w:usb2="00000000" w:usb3="00000000" w:csb0="0000001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Stencil">
    <w:altName w:val="Gabriol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Harlow Solid Italic">
    <w:altName w:val="Gabriola"/>
    <w:panose1 w:val="04030604020F02020D02"/>
    <w:charset w:val="00"/>
    <w:family w:val="auto"/>
    <w:pitch w:val="default"/>
    <w:sig w:usb0="00000000" w:usb1="00000000" w:usb2="00000000" w:usb3="00000000" w:csb0="20000001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DFKai-SB">
    <w:altName w:val="Microsoft JhengHei Light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Guli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Meiryo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Adobe 楷体 Std R">
    <w:altName w:val="楷体_GB2312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Pristina">
    <w:altName w:val="Mongolian Baiti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Poor Richard">
    <w:altName w:val="Segoe Print"/>
    <w:panose1 w:val="02080502050505020702"/>
    <w:charset w:val="00"/>
    <w:family w:val="auto"/>
    <w:pitch w:val="default"/>
    <w:sig w:usb0="00000000" w:usb1="00000000" w:usb2="00000000" w:usb3="00000000" w:csb0="20000001" w:csb1="00000000"/>
  </w:font>
  <w:font w:name="Playbill">
    <w:altName w:val="Gabriola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Plantagenet Cherokee">
    <w:altName w:val="Segoe Print"/>
    <w:panose1 w:val="02020602070100000000"/>
    <w:charset w:val="00"/>
    <w:family w:val="auto"/>
    <w:pitch w:val="default"/>
    <w:sig w:usb0="00000000" w:usb1="00000000" w:usb2="00001000" w:usb3="00000000" w:csb0="00000001" w:csb1="00000000"/>
  </w:font>
  <w:font w:name="Perpetua Titling MT">
    <w:altName w:val="PMingLiU-ExtB"/>
    <w:panose1 w:val="02020502060505020804"/>
    <w:charset w:val="00"/>
    <w:family w:val="auto"/>
    <w:pitch w:val="default"/>
    <w:sig w:usb0="00000000" w:usb1="00000000" w:usb2="00000000" w:usb3="00000000" w:csb0="20000001" w:csb1="00000000"/>
  </w:font>
  <w:font w:name="Tw Cen MT Condensed Extra Bold">
    <w:altName w:val="Yu Gothic UI Semibold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Papyrus">
    <w:altName w:val="Mongolian Baiti"/>
    <w:panose1 w:val="03070502060502030205"/>
    <w:charset w:val="00"/>
    <w:family w:val="auto"/>
    <w:pitch w:val="default"/>
    <w:sig w:usb0="00000000" w:usb1="00000000" w:usb2="00000000" w:usb3="00000000" w:csb0="2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Rockwell">
    <w:altName w:val="Segoe Print"/>
    <w:panose1 w:val="02060603020205020403"/>
    <w:charset w:val="00"/>
    <w:family w:val="auto"/>
    <w:pitch w:val="default"/>
    <w:sig w:usb0="00000000" w:usb1="00000000" w:usb2="00000000" w:usb3="00000000" w:csb0="20000001" w:csb1="00000000"/>
  </w:font>
  <w:font w:name="Rockwell Condensed">
    <w:altName w:val="Segoe Print"/>
    <w:panose1 w:val="02060603050405020104"/>
    <w:charset w:val="00"/>
    <w:family w:val="auto"/>
    <w:pitch w:val="default"/>
    <w:sig w:usb0="00000000" w:usb1="00000000" w:usb2="00000000" w:usb3="00000000" w:csb0="20000001" w:csb1="00000000"/>
  </w:font>
  <w:font w:name="Rockwell Extra Bold">
    <w:altName w:val="Segoe Print"/>
    <w:panose1 w:val="02060903040505020403"/>
    <w:charset w:val="00"/>
    <w:family w:val="auto"/>
    <w:pitch w:val="default"/>
    <w:sig w:usb0="00000000" w:usb1="00000000" w:usb2="00000000" w:usb3="00000000" w:csb0="20000001" w:csb1="00000000"/>
  </w:font>
  <w:font w:name="Script MT Bold">
    <w:altName w:val="Mongolian Baiti"/>
    <w:panose1 w:val="03040602040607080904"/>
    <w:charset w:val="00"/>
    <w:family w:val="auto"/>
    <w:pitch w:val="default"/>
    <w:sig w:usb0="00000000" w:usb1="00000000" w:usb2="00000000" w:usb3="00000000" w:csb0="20000001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Showcard Gothic">
    <w:altName w:val="Gabriola"/>
    <w:panose1 w:val="04020904020102020604"/>
    <w:charset w:val="00"/>
    <w:family w:val="auto"/>
    <w:pitch w:val="default"/>
    <w:sig w:usb0="00000000" w:usb1="00000000" w:usb2="00000000" w:usb3="00000000" w:csb0="20000001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nap ITC">
    <w:altName w:val="Gabriola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DejaVu Math TeX Gyre">
    <w:altName w:val="Corbel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NumberOnly">
    <w:altName w:val="Sitka Text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方正兰亭黑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中粗黑_GBK">
    <w:altName w:val="黑体"/>
    <w:panose1 w:val="00000000000000000000"/>
    <w:charset w:val="86"/>
    <w:family w:val="auto"/>
    <w:pitch w:val="default"/>
    <w:sig w:usb0="00000000" w:usb1="00000000" w:usb2="00042016" w:usb3="00000000" w:csb0="00040001" w:csb1="00000000"/>
  </w:font>
  <w:font w:name="方正兰亭中黑_GBK">
    <w:altName w:val="黑体"/>
    <w:panose1 w:val="00000000000000000000"/>
    <w:charset w:val="86"/>
    <w:family w:val="auto"/>
    <w:pitch w:val="default"/>
    <w:sig w:usb0="00000000" w:usb1="00000000" w:usb2="00082016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Bahnschrift SemiCondensed">
    <w:panose1 w:val="020B0502040204020203"/>
    <w:charset w:val="00"/>
    <w:family w:val="auto"/>
    <w:pitch w:val="default"/>
    <w:sig w:usb0="800002C7" w:usb1="00000002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80EF22"/>
    <w:multiLevelType w:val="singleLevel"/>
    <w:tmpl w:val="F080EF2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9968CE"/>
    <w:rsid w:val="08C269CC"/>
    <w:rsid w:val="0BFC71D2"/>
    <w:rsid w:val="16D219D1"/>
    <w:rsid w:val="16E17A9F"/>
    <w:rsid w:val="17BF61FB"/>
    <w:rsid w:val="1DF221F3"/>
    <w:rsid w:val="1FB1286E"/>
    <w:rsid w:val="22385378"/>
    <w:rsid w:val="271676FA"/>
    <w:rsid w:val="2851067E"/>
    <w:rsid w:val="2BDC05C3"/>
    <w:rsid w:val="2D572E5D"/>
    <w:rsid w:val="32F93E9E"/>
    <w:rsid w:val="35645045"/>
    <w:rsid w:val="37851E87"/>
    <w:rsid w:val="37BB6BF3"/>
    <w:rsid w:val="3B642EAF"/>
    <w:rsid w:val="3E86597F"/>
    <w:rsid w:val="3EEA281A"/>
    <w:rsid w:val="40E65C1A"/>
    <w:rsid w:val="44E53396"/>
    <w:rsid w:val="4A103274"/>
    <w:rsid w:val="4A646527"/>
    <w:rsid w:val="570B2FEB"/>
    <w:rsid w:val="57461487"/>
    <w:rsid w:val="5AA227D3"/>
    <w:rsid w:val="5D75630C"/>
    <w:rsid w:val="608F05B4"/>
    <w:rsid w:val="658614A7"/>
    <w:rsid w:val="678F775A"/>
    <w:rsid w:val="71AA2975"/>
    <w:rsid w:val="754B169A"/>
    <w:rsid w:val="7A3416E5"/>
    <w:rsid w:val="7DA8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iPriority w:val="0"/>
    <w:pPr>
      <w:spacing w:before="120"/>
    </w:pPr>
    <w:rPr>
      <w:rFonts w:ascii="Cambria" w:hAnsi="Cambria" w:eastAsia="宋体" w:cs="Times New Roman"/>
      <w:sz w:val="24"/>
      <w:szCs w:val="24"/>
    </w:rPr>
  </w:style>
  <w:style w:type="paragraph" w:styleId="5">
    <w:name w:val="Body Text"/>
    <w:basedOn w:val="1"/>
    <w:next w:val="1"/>
    <w:qFormat/>
    <w:uiPriority w:val="0"/>
    <w:pPr>
      <w:spacing w:afterLines="0" w:afterAutospacing="0"/>
      <w:ind w:firstLine="480" w:firstLineChars="200"/>
    </w:pPr>
  </w:style>
  <w:style w:type="paragraph" w:styleId="6">
    <w:name w:val="Normal (Web)"/>
    <w:basedOn w:val="1"/>
    <w:qFormat/>
    <w:uiPriority w:val="0"/>
    <w:rPr>
      <w:sz w:val="24"/>
    </w:rPr>
  </w:style>
  <w:style w:type="paragraph" w:customStyle="1" w:styleId="9">
    <w:name w:val="典型案例标题"/>
    <w:basedOn w:val="3"/>
    <w:qFormat/>
    <w:uiPriority w:val="0"/>
    <w:pPr>
      <w:spacing w:before="120" w:after="120" w:line="420" w:lineRule="exact"/>
    </w:pPr>
    <w:rPr>
      <w:rFonts w:eastAsia="黑体" w:cs="Times New Roman" w:asciiTheme="minorAscii" w:hAnsiTheme="minorAscii"/>
      <w:color w:val="2E75B6" w:themeColor="accent1" w:themeShade="BF"/>
      <w:sz w:val="28"/>
      <w:szCs w:val="24"/>
    </w:rPr>
  </w:style>
  <w:style w:type="paragraph" w:customStyle="1" w:styleId="10">
    <w:name w:val="典型案例正文"/>
    <w:basedOn w:val="6"/>
    <w:qFormat/>
    <w:uiPriority w:val="0"/>
    <w:pPr>
      <w:spacing w:beforeAutospacing="0" w:afterAutospacing="0" w:line="420" w:lineRule="exact"/>
      <w:ind w:firstLine="562" w:firstLineChars="200"/>
    </w:pPr>
    <w:rPr>
      <w:rFonts w:ascii="Calibri" w:hAnsi="Calibri" w:eastAsia="宋体" w:cs="Times New Roman"/>
      <w:kern w:val="0"/>
      <w:lang w:bidi="ar"/>
    </w:rPr>
  </w:style>
  <w:style w:type="paragraph" w:customStyle="1" w:styleId="11">
    <w:name w:val="样式1"/>
    <w:basedOn w:val="1"/>
    <w:next w:val="4"/>
    <w:qFormat/>
    <w:uiPriority w:val="0"/>
    <w:pPr>
      <w:spacing w:line="420" w:lineRule="exact"/>
    </w:pPr>
    <w:rPr>
      <w:rFonts w:ascii="Calibri" w:hAnsi="Calibri" w:eastAsia="楷体" w:cs="Times New Roman"/>
      <w:sz w:val="24"/>
    </w:rPr>
  </w:style>
  <w:style w:type="paragraph" w:customStyle="1" w:styleId="12">
    <w:name w:val="典型案例概要"/>
    <w:basedOn w:val="1"/>
    <w:next w:val="4"/>
    <w:qFormat/>
    <w:uiPriority w:val="0"/>
    <w:pPr>
      <w:spacing w:line="420" w:lineRule="exact"/>
    </w:pPr>
    <w:rPr>
      <w:rFonts w:ascii="Calibri" w:hAnsi="Calibri" w:eastAsia="楷体" w:cs="Times New Roman"/>
      <w:sz w:val="24"/>
    </w:rPr>
  </w:style>
  <w:style w:type="paragraph" w:customStyle="1" w:styleId="13">
    <w:name w:val="典型案例标题2"/>
    <w:basedOn w:val="4"/>
    <w:qFormat/>
    <w:uiPriority w:val="0"/>
    <w:pPr>
      <w:spacing w:beforeAutospacing="0" w:afterAutospacing="0" w:line="420" w:lineRule="exact"/>
    </w:pPr>
    <w:rPr>
      <w:rFonts w:hint="eastAsia" w:ascii="楷体" w:hAnsi="楷体" w:eastAsia="楷体" w:cs="宋体"/>
      <w:b w:val="0"/>
      <w:kern w:val="0"/>
      <w:sz w:val="24"/>
      <w:szCs w:val="36"/>
      <w:lang w:bidi="ar"/>
    </w:rPr>
  </w:style>
  <w:style w:type="paragraph" w:customStyle="1" w:styleId="14">
    <w:name w:val="典型案例正文小四"/>
    <w:basedOn w:val="1"/>
    <w:next w:val="1"/>
    <w:qFormat/>
    <w:uiPriority w:val="0"/>
    <w:pPr>
      <w:spacing w:line="420" w:lineRule="exact"/>
      <w:ind w:firstLine="420" w:firstLineChars="200"/>
    </w:pPr>
    <w:rPr>
      <w:rFonts w:ascii="宋体" w:hAnsi="宋体" w:cs="Times New Roman"/>
      <w:sz w:val="24"/>
      <w:szCs w:val="24"/>
    </w:rPr>
  </w:style>
  <w:style w:type="paragraph" w:customStyle="1" w:styleId="15">
    <w:name w:val="宋体小四"/>
    <w:basedOn w:val="5"/>
    <w:qFormat/>
    <w:uiPriority w:val="0"/>
    <w:pPr>
      <w:wordWrap w:val="0"/>
      <w:spacing w:line="440" w:lineRule="exact"/>
      <w:ind w:firstLine="480"/>
    </w:pPr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dcterms:modified xsi:type="dcterms:W3CDTF">2024-06-17T03:33:07Z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