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899" w:rsidRDefault="00AD2899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AD2899" w:rsidRDefault="00AD2899">
      <w:pPr>
        <w:spacing w:line="560" w:lineRule="exact"/>
        <w:jc w:val="center"/>
        <w:rPr>
          <w:rFonts w:ascii="Times New Roman" w:eastAsia="黑体" w:hAnsi="Times New Roman"/>
          <w:sz w:val="32"/>
          <w:szCs w:val="32"/>
        </w:rPr>
      </w:pPr>
    </w:p>
    <w:p w:rsidR="00AD2899" w:rsidRDefault="00AD2899">
      <w:pPr>
        <w:spacing w:line="540" w:lineRule="exact"/>
        <w:ind w:firstLineChars="200" w:firstLine="880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泛影葡胺注射液说明书修订要求</w:t>
      </w:r>
    </w:p>
    <w:p w:rsidR="00AD2899" w:rsidRDefault="00AD2899">
      <w:pPr>
        <w:spacing w:line="540" w:lineRule="exact"/>
        <w:ind w:firstLineChars="200" w:firstLine="880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</w:p>
    <w:p w:rsidR="00AD2899" w:rsidRDefault="00AD2899">
      <w:pPr>
        <w:pStyle w:val="a3"/>
        <w:spacing w:line="590" w:lineRule="exact"/>
        <w:ind w:firstLineChars="200" w:firstLine="640"/>
        <w:rPr>
          <w:rFonts w:ascii="Times New Roman" w:eastAsia="黑体"/>
          <w:b w:val="0"/>
          <w:sz w:val="32"/>
          <w:szCs w:val="32"/>
        </w:rPr>
      </w:pPr>
      <w:r>
        <w:rPr>
          <w:rFonts w:ascii="Times New Roman" w:eastAsia="黑体"/>
          <w:b w:val="0"/>
          <w:sz w:val="32"/>
          <w:szCs w:val="32"/>
        </w:rPr>
        <w:t>一、【不良反应】项应包含以下内容：</w:t>
      </w:r>
    </w:p>
    <w:p w:rsidR="00AD2899" w:rsidRDefault="00AD2899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bookmarkStart w:id="0" w:name="_Hlk54705938"/>
      <w:r>
        <w:rPr>
          <w:rFonts w:ascii="Times New Roman" w:eastAsia="仿宋_GB2312" w:hAnsi="Times New Roman"/>
          <w:sz w:val="32"/>
          <w:szCs w:val="32"/>
        </w:rPr>
        <w:t>上市后监测到本品的下列不良反应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事件（发生率未知）：</w:t>
      </w:r>
    </w:p>
    <w:bookmarkEnd w:id="0"/>
    <w:p w:rsidR="00AD2899" w:rsidRDefault="00AD2899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胃肠系统：腹泻</w:t>
      </w:r>
    </w:p>
    <w:p w:rsidR="00AD2899" w:rsidRDefault="00AD2899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皮肤：多汗</w:t>
      </w:r>
    </w:p>
    <w:p w:rsidR="00AD2899" w:rsidRDefault="00AD2899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全身反应：发热、胸部不适</w:t>
      </w:r>
    </w:p>
    <w:p w:rsidR="00AD2899" w:rsidRDefault="00AD2899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神经系统：感觉减退</w:t>
      </w:r>
    </w:p>
    <w:p w:rsidR="00AD2899" w:rsidRDefault="00AD2899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心脏：心悸</w:t>
      </w:r>
    </w:p>
    <w:p w:rsidR="00AD2899" w:rsidRDefault="00AD2899">
      <w:pPr>
        <w:spacing w:line="5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二、【注意事项】项应包含以下内容：</w:t>
      </w:r>
    </w:p>
    <w:p w:rsidR="00AD2899" w:rsidRDefault="00AD2899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暴露于碘对比剂后可能会出现甲状腺功能减退或短暂的甲状腺抑制。应特别注意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岁以下的儿童患者，因为在生命早期发生甲状腺功能低下可能对运动、听力和认知发育有害，并且可能需要短暂的</w:t>
      </w:r>
      <w:r>
        <w:rPr>
          <w:rFonts w:ascii="Times New Roman" w:eastAsia="仿宋_GB2312" w:hAnsi="Times New Roman"/>
          <w:sz w:val="32"/>
          <w:szCs w:val="32"/>
        </w:rPr>
        <w:t>T4</w:t>
      </w:r>
      <w:r>
        <w:rPr>
          <w:rFonts w:ascii="Times New Roman" w:eastAsia="仿宋_GB2312" w:hAnsi="Times New Roman"/>
          <w:sz w:val="32"/>
          <w:szCs w:val="32"/>
        </w:rPr>
        <w:t>替代治疗。据报道，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岁以下暴露于碘对比剂的患者甲状腺功能减退的发生率在</w:t>
      </w:r>
      <w:r>
        <w:rPr>
          <w:rFonts w:ascii="Times New Roman" w:eastAsia="仿宋_GB2312" w:hAnsi="Times New Roman"/>
          <w:sz w:val="32"/>
          <w:szCs w:val="32"/>
        </w:rPr>
        <w:t>1%</w:t>
      </w:r>
      <w:r>
        <w:rPr>
          <w:rFonts w:ascii="Times New Roman" w:eastAsia="仿宋_GB2312" w:hAnsi="Times New Roman"/>
          <w:sz w:val="32"/>
          <w:szCs w:val="32"/>
        </w:rPr>
        <w:t>至</w:t>
      </w:r>
      <w:r>
        <w:rPr>
          <w:rFonts w:ascii="Times New Roman" w:eastAsia="仿宋_GB2312" w:hAnsi="Times New Roman"/>
          <w:sz w:val="32"/>
          <w:szCs w:val="32"/>
        </w:rPr>
        <w:t>15%</w:t>
      </w:r>
      <w:r>
        <w:rPr>
          <w:rFonts w:ascii="Times New Roman" w:eastAsia="仿宋_GB2312" w:hAnsi="Times New Roman"/>
          <w:sz w:val="32"/>
          <w:szCs w:val="32"/>
        </w:rPr>
        <w:t>之间，具体取决于其年龄和碘对比剂的剂量，并且更常见于新生儿和早产儿。所有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岁以下的儿童患者在暴露于碘对比剂后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周内都应评估甲状腺功能，尤其是早产儿和新生儿。如果检测到甲状腺功能减退，即使给予替代治疗，也应酌情监测甲状腺功能。</w:t>
      </w:r>
    </w:p>
    <w:p w:rsidR="00AD2899" w:rsidRDefault="00AD2899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AD2899" w:rsidRDefault="00AD2899" w:rsidP="002E1522">
      <w:pPr>
        <w:tabs>
          <w:tab w:val="left" w:pos="675"/>
        </w:tabs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注：说明书其他内容如与上述修订要求不一致的，应当一并进行修订。</w:t>
      </w:r>
      <w:r>
        <w:rPr>
          <w:rFonts w:ascii="Times New Roman" w:eastAsia="仿宋_GB2312" w:hAnsi="Times New Roman"/>
          <w:color w:val="000000"/>
          <w:sz w:val="32"/>
          <w:szCs w:val="32"/>
        </w:rPr>
        <w:t>）</w:t>
      </w:r>
      <w:bookmarkStart w:id="1" w:name="_GoBack"/>
      <w:bookmarkEnd w:id="1"/>
    </w:p>
    <w:sectPr w:rsidR="00AD2899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77D" w:rsidRDefault="009C477D">
      <w:r>
        <w:separator/>
      </w:r>
    </w:p>
  </w:endnote>
  <w:endnote w:type="continuationSeparator" w:id="0">
    <w:p w:rsidR="009C477D" w:rsidRDefault="009C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899" w:rsidRDefault="00617AA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0" t="2540" r="317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2899" w:rsidRDefault="00AD2899">
                          <w:pPr>
                            <w:pStyle w:val="a4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E1522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9pt;margin-top:0;width:77.1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" filled="f" stroked="f">
              <v:textbox style="mso-fit-shape-to-text:t" inset="0,0,0,0">
                <w:txbxContent>
                  <w:p w:rsidR="00AD2899" w:rsidRDefault="00AD2899">
                    <w:pPr>
                      <w:pStyle w:val="a4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2E1522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77D" w:rsidRDefault="009C477D">
      <w:r>
        <w:separator/>
      </w:r>
    </w:p>
  </w:footnote>
  <w:footnote w:type="continuationSeparator" w:id="0">
    <w:p w:rsidR="009C477D" w:rsidRDefault="009C4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ED"/>
    <w:rsid w:val="BEEC94B6"/>
    <w:rsid w:val="001530A3"/>
    <w:rsid w:val="002E1522"/>
    <w:rsid w:val="00617AA6"/>
    <w:rsid w:val="009C477D"/>
    <w:rsid w:val="00AD2899"/>
    <w:rsid w:val="00AF38B4"/>
    <w:rsid w:val="00DD3FED"/>
    <w:rsid w:val="3EAB0813"/>
    <w:rsid w:val="B7FE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50FD5B-7F5B-4512-A37D-C742903C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440" w:lineRule="exact"/>
    </w:pPr>
    <w:rPr>
      <w:rFonts w:ascii="仿宋_GB2312" w:eastAsia="仿宋_GB2312" w:hAnsi="Times New Roman"/>
      <w:b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4</cp:revision>
  <dcterms:created xsi:type="dcterms:W3CDTF">2023-04-24T09:19:00Z</dcterms:created>
  <dcterms:modified xsi:type="dcterms:W3CDTF">2023-04-24T09:23:00Z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