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 w:val="left" w:pos="7380"/>
          <w:tab w:val="left" w:pos="7560"/>
        </w:tabs>
        <w:spacing w:line="500" w:lineRule="exact"/>
        <w:rPr>
          <w:rFonts w:hint="eastAsia" w:ascii="黑体" w:hAnsi="宋体" w:eastAsia="黑体" w:cs="黑体"/>
          <w:color w:val="000000"/>
          <w:kern w:val="0"/>
          <w:sz w:val="32"/>
          <w:szCs w:val="32"/>
          <w:lang w:bidi="ar"/>
        </w:rPr>
      </w:pPr>
      <w:bookmarkStart w:id="0" w:name="_GoBack"/>
      <w:r>
        <w:rPr>
          <w:rFonts w:hint="eastAsia" w:ascii="黑体" w:hAnsi="宋体" w:eastAsia="黑体" w:cs="黑体"/>
          <w:color w:val="000000"/>
          <w:kern w:val="0"/>
          <w:sz w:val="32"/>
          <w:szCs w:val="32"/>
          <w:lang w:bidi="ar"/>
        </w:rPr>
        <w:t>附件</w:t>
      </w:r>
    </w:p>
    <w:p>
      <w:pPr>
        <w:tabs>
          <w:tab w:val="left" w:pos="7200"/>
          <w:tab w:val="left" w:pos="7380"/>
          <w:tab w:val="left" w:pos="7560"/>
        </w:tabs>
        <w:spacing w:line="500" w:lineRule="exact"/>
        <w:rPr>
          <w:rFonts w:hint="eastAsia" w:ascii="黑体" w:hAnsi="宋体" w:eastAsia="黑体" w:cs="黑体"/>
          <w:color w:val="000000"/>
          <w:kern w:val="0"/>
          <w:sz w:val="28"/>
          <w:szCs w:val="28"/>
          <w:lang w:bidi="ar"/>
        </w:rPr>
      </w:pPr>
    </w:p>
    <w:p>
      <w:pPr>
        <w:tabs>
          <w:tab w:val="left" w:pos="7200"/>
          <w:tab w:val="left" w:pos="7380"/>
          <w:tab w:val="left" w:pos="7560"/>
        </w:tabs>
        <w:spacing w:line="500" w:lineRule="exact"/>
        <w:jc w:val="center"/>
        <w:rPr>
          <w:rFonts w:hint="eastAsia" w:ascii="黑体" w:hAnsi="宋体" w:eastAsia="黑体" w:cs="黑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《医疗器械分类目录》部分内容调整表</w:t>
      </w:r>
    </w:p>
    <w:bookmarkEnd w:id="0"/>
    <w:p>
      <w:pPr>
        <w:tabs>
          <w:tab w:val="left" w:pos="7200"/>
          <w:tab w:val="left" w:pos="7380"/>
          <w:tab w:val="left" w:pos="7560"/>
        </w:tabs>
        <w:spacing w:line="500" w:lineRule="exact"/>
        <w:rPr>
          <w:rFonts w:hint="eastAsia" w:ascii="黑体" w:hAnsi="宋体" w:eastAsia="黑体" w:cs="黑体"/>
          <w:color w:val="000000"/>
          <w:kern w:val="0"/>
          <w:sz w:val="28"/>
          <w:szCs w:val="28"/>
          <w:lang w:bidi="ar"/>
        </w:rPr>
      </w:pPr>
    </w:p>
    <w:tbl>
      <w:tblPr>
        <w:tblStyle w:val="6"/>
        <w:tblW w:w="0" w:type="auto"/>
        <w:jc w:val="center"/>
        <w:tblLayout w:type="fixed"/>
        <w:tblCellMar>
          <w:top w:w="0" w:type="dxa"/>
          <w:left w:w="108" w:type="dxa"/>
          <w:bottom w:w="0" w:type="dxa"/>
          <w:right w:w="108" w:type="dxa"/>
        </w:tblCellMar>
      </w:tblPr>
      <w:tblGrid>
        <w:gridCol w:w="458"/>
        <w:gridCol w:w="865"/>
        <w:gridCol w:w="919"/>
        <w:gridCol w:w="813"/>
        <w:gridCol w:w="1899"/>
        <w:gridCol w:w="1351"/>
        <w:gridCol w:w="1074"/>
        <w:gridCol w:w="740"/>
        <w:gridCol w:w="853"/>
        <w:gridCol w:w="1042"/>
        <w:gridCol w:w="759"/>
        <w:gridCol w:w="1361"/>
        <w:gridCol w:w="1092"/>
        <w:gridCol w:w="1046"/>
        <w:gridCol w:w="704"/>
      </w:tblGrid>
      <w:tr>
        <w:tblPrEx>
          <w:tblCellMar>
            <w:top w:w="0" w:type="dxa"/>
            <w:left w:w="108" w:type="dxa"/>
            <w:bottom w:w="0" w:type="dxa"/>
            <w:right w:w="108" w:type="dxa"/>
          </w:tblCellMar>
        </w:tblPrEx>
        <w:trPr>
          <w:trHeight w:val="400" w:hRule="atLeast"/>
          <w:jc w:val="center"/>
        </w:trPr>
        <w:tc>
          <w:tcPr>
            <w:tcW w:w="4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序号</w:t>
            </w:r>
          </w:p>
        </w:tc>
        <w:tc>
          <w:tcPr>
            <w:tcW w:w="766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《医疗器械分类目录》内容</w:t>
            </w:r>
          </w:p>
        </w:tc>
        <w:tc>
          <w:tcPr>
            <w:tcW w:w="6857"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调整后《医疗器械分类目录》内容</w:t>
            </w:r>
          </w:p>
        </w:tc>
      </w:tr>
      <w:tr>
        <w:tblPrEx>
          <w:tblCellMar>
            <w:top w:w="0" w:type="dxa"/>
            <w:left w:w="108" w:type="dxa"/>
            <w:bottom w:w="0" w:type="dxa"/>
            <w:right w:w="108" w:type="dxa"/>
          </w:tblCellMar>
        </w:tblPrEx>
        <w:trPr>
          <w:trHeight w:val="27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子目录</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一级产品类别</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二级产品类别</w:t>
            </w: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产品描述</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预期用途</w:t>
            </w:r>
          </w:p>
        </w:tc>
        <w:tc>
          <w:tcPr>
            <w:tcW w:w="10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品名举例</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管理类别</w:t>
            </w:r>
          </w:p>
        </w:tc>
        <w:tc>
          <w:tcPr>
            <w:tcW w:w="8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子目录</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一级产品类别</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二级产品类别</w:t>
            </w:r>
          </w:p>
        </w:tc>
        <w:tc>
          <w:tcPr>
            <w:tcW w:w="13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产品描述</w:t>
            </w:r>
          </w:p>
        </w:tc>
        <w:tc>
          <w:tcPr>
            <w:tcW w:w="10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预期用途</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kern w:val="0"/>
                <w:szCs w:val="21"/>
                <w:lang w:bidi="ar"/>
              </w:rPr>
            </w:pPr>
            <w:r>
              <w:rPr>
                <w:rFonts w:eastAsia="黑体"/>
                <w:bCs/>
                <w:color w:val="000000"/>
                <w:kern w:val="0"/>
                <w:szCs w:val="21"/>
                <w:lang w:bidi="ar"/>
              </w:rPr>
              <w:t>品名</w:t>
            </w:r>
          </w:p>
          <w:p>
            <w:pPr>
              <w:widowControl/>
              <w:spacing w:line="240" w:lineRule="exact"/>
              <w:jc w:val="center"/>
              <w:textAlignment w:val="center"/>
              <w:rPr>
                <w:rFonts w:eastAsia="黑体"/>
                <w:bCs/>
                <w:color w:val="000000"/>
                <w:szCs w:val="21"/>
              </w:rPr>
            </w:pPr>
            <w:r>
              <w:rPr>
                <w:rFonts w:eastAsia="黑体"/>
                <w:bCs/>
                <w:color w:val="000000"/>
                <w:kern w:val="0"/>
                <w:szCs w:val="21"/>
                <w:lang w:bidi="ar"/>
              </w:rPr>
              <w:t>举例</w:t>
            </w: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color w:val="000000"/>
                <w:szCs w:val="21"/>
              </w:rPr>
            </w:pPr>
            <w:r>
              <w:rPr>
                <w:rFonts w:eastAsia="黑体"/>
                <w:bCs/>
                <w:color w:val="000000"/>
                <w:kern w:val="0"/>
                <w:szCs w:val="21"/>
                <w:lang w:bidi="ar"/>
              </w:rPr>
              <w:t>管理类别</w:t>
            </w:r>
          </w:p>
        </w:tc>
      </w:tr>
      <w:tr>
        <w:tblPrEx>
          <w:tblCellMar>
            <w:top w:w="0" w:type="dxa"/>
            <w:left w:w="108" w:type="dxa"/>
            <w:bottom w:w="0" w:type="dxa"/>
            <w:right w:w="108" w:type="dxa"/>
          </w:tblCellMar>
        </w:tblPrEx>
        <w:trPr>
          <w:trHeight w:val="54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85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109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黑体"/>
                <w:bCs/>
                <w:color w:val="000000"/>
                <w:szCs w:val="21"/>
              </w:rPr>
            </w:pPr>
          </w:p>
        </w:tc>
      </w:tr>
      <w:tr>
        <w:tblPrEx>
          <w:tblCellMar>
            <w:top w:w="0" w:type="dxa"/>
            <w:left w:w="108" w:type="dxa"/>
            <w:bottom w:w="0" w:type="dxa"/>
            <w:right w:w="108" w:type="dxa"/>
          </w:tblCellMar>
        </w:tblPrEx>
        <w:trPr>
          <w:trHeight w:val="276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w:t>
            </w:r>
          </w:p>
        </w:tc>
        <w:tc>
          <w:tcPr>
            <w:tcW w:w="865" w:type="dxa"/>
            <w:tcBorders>
              <w:top w:val="single" w:color="000000" w:sz="4" w:space="0"/>
              <w:left w:val="single" w:color="000000" w:sz="4" w:space="0"/>
              <w:bottom w:val="nil"/>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02-无源手术器械</w:t>
            </w:r>
          </w:p>
        </w:tc>
        <w:tc>
          <w:tcPr>
            <w:tcW w:w="919" w:type="dxa"/>
            <w:tcBorders>
              <w:top w:val="single" w:color="000000" w:sz="4" w:space="0"/>
              <w:left w:val="single" w:color="000000" w:sz="4" w:space="0"/>
              <w:bottom w:val="nil"/>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15-手术器械-其他器械</w:t>
            </w:r>
          </w:p>
        </w:tc>
        <w:tc>
          <w:tcPr>
            <w:tcW w:w="813" w:type="dxa"/>
            <w:tcBorders>
              <w:top w:val="single" w:color="000000" w:sz="4" w:space="0"/>
              <w:left w:val="single" w:color="000000" w:sz="4" w:space="0"/>
              <w:bottom w:val="nil"/>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14-夹子装置</w:t>
            </w:r>
          </w:p>
        </w:tc>
        <w:tc>
          <w:tcPr>
            <w:tcW w:w="1899" w:type="dxa"/>
            <w:tcBorders>
              <w:top w:val="single" w:color="000000" w:sz="4" w:space="0"/>
              <w:left w:val="single" w:color="000000" w:sz="4" w:space="0"/>
              <w:bottom w:val="nil"/>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通常由外鞘管、旋转鞘管、夹子组成。夹子一般采用不锈钢材料制成，在体内滞留时间大于等于30天。无菌提供。</w:t>
            </w:r>
          </w:p>
        </w:tc>
        <w:tc>
          <w:tcPr>
            <w:tcW w:w="1351" w:type="dxa"/>
            <w:tcBorders>
              <w:top w:val="single" w:color="000000" w:sz="4" w:space="0"/>
              <w:left w:val="single" w:color="000000" w:sz="4" w:space="0"/>
              <w:bottom w:val="nil"/>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与内窥镜配套使用，用于在消化道内放置夹子。夹子用于内窥镜下的标记、消化道组织的止血。</w:t>
            </w:r>
          </w:p>
        </w:tc>
        <w:tc>
          <w:tcPr>
            <w:tcW w:w="1074" w:type="dxa"/>
            <w:tcBorders>
              <w:top w:val="single" w:color="000000" w:sz="4" w:space="0"/>
              <w:left w:val="single" w:color="000000" w:sz="4" w:space="0"/>
              <w:bottom w:val="nil"/>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夹子装置</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02-无源手术器械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15-手术器械-其他器械</w:t>
            </w: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14-夹子装置</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通常由外鞘管、旋转鞘管、夹子组成。夹子一般采用不锈钢材料制成。无菌提供。</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Ⅱ</w:t>
            </w:r>
          </w:p>
        </w:tc>
      </w:tr>
      <w:tr>
        <w:tblPrEx>
          <w:tblCellMar>
            <w:top w:w="0" w:type="dxa"/>
            <w:left w:w="108" w:type="dxa"/>
            <w:bottom w:w="0" w:type="dxa"/>
            <w:right w:w="108" w:type="dxa"/>
          </w:tblCellMar>
        </w:tblPrEx>
        <w:trPr>
          <w:trHeight w:val="338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2</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04导管消毒连接器</w:t>
            </w: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通常由外接头、内圆锥锁定接头、外接头海绵、内圆锥锁定接头海绵、支撑硅橡胶、连接管和70%异丙醇或乙醇水溶液组成。</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既用于物理屏障输液（注射）器具无针接头（包括外圆锥锁定接头及内圆锥锁定接头）；也用于对输液（注射）器具无针接头进行消毒。</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导管消毒连接器、输液接头消毒帽</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04导管消毒连接器</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Ⅱ</w:t>
            </w:r>
          </w:p>
        </w:tc>
      </w:tr>
      <w:tr>
        <w:tblPrEx>
          <w:tblCellMar>
            <w:top w:w="0" w:type="dxa"/>
            <w:left w:w="108" w:type="dxa"/>
            <w:bottom w:w="0" w:type="dxa"/>
            <w:right w:w="108" w:type="dxa"/>
          </w:tblCellMar>
        </w:tblPrEx>
        <w:trPr>
          <w:trHeight w:val="1997"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3</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12-穿刺针</w:t>
            </w: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通常是尖部锋利的刚性管。</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用于将导丝或导管引入血管。</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血管穿刺针</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12-穿刺针</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Ⅱ</w:t>
            </w:r>
          </w:p>
        </w:tc>
      </w:tr>
      <w:tr>
        <w:tblPrEx>
          <w:tblCellMar>
            <w:top w:w="0" w:type="dxa"/>
            <w:left w:w="108" w:type="dxa"/>
            <w:bottom w:w="0" w:type="dxa"/>
            <w:right w:w="108" w:type="dxa"/>
          </w:tblCellMar>
        </w:tblPrEx>
        <w:trPr>
          <w:trHeight w:val="2758" w:hRule="atLeast"/>
          <w:jc w:val="center"/>
        </w:trPr>
        <w:tc>
          <w:tcPr>
            <w:tcW w:w="4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4</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14-导管鞘</w:t>
            </w: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通常由鞘管、接头组成，也可配备止血阀、侧管等结构，某些导管鞘设计为可撕开式。鞘管内腔一般较大。</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与扩张器配合使用，用于将导丝、导管等医疗器械插入血管。</w:t>
            </w:r>
          </w:p>
        </w:tc>
        <w:tc>
          <w:tcPr>
            <w:tcW w:w="10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导管鞘、导引鞘、动脉鞘、静脉血管鞘、微穿刺血管鞘、撕开型血管鞘</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Ⅲ</w:t>
            </w:r>
          </w:p>
        </w:tc>
        <w:tc>
          <w:tcPr>
            <w:tcW w:w="8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14-导管鞘</w:t>
            </w:r>
          </w:p>
        </w:tc>
        <w:tc>
          <w:tcPr>
            <w:tcW w:w="13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Ⅱ</w:t>
            </w:r>
          </w:p>
        </w:tc>
      </w:tr>
      <w:tr>
        <w:tblPrEx>
          <w:tblCellMar>
            <w:top w:w="0" w:type="dxa"/>
            <w:left w:w="108" w:type="dxa"/>
            <w:bottom w:w="0" w:type="dxa"/>
            <w:right w:w="108" w:type="dxa"/>
          </w:tblCellMar>
        </w:tblPrEx>
        <w:trPr>
          <w:trHeight w:val="2283"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5</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15-扩张器</w:t>
            </w: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通常由管身和接头组成。管身一般较厚，不易弯折。扩张器头端一般为锥形。无菌提供。</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用于对进入血管的经皮穿刺通道及血管通道进行扩张的柔性管状器械。</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扩张器</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15-扩张器</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Ⅱ</w:t>
            </w:r>
          </w:p>
        </w:tc>
      </w:tr>
      <w:tr>
        <w:tblPrEx>
          <w:tblCellMar>
            <w:top w:w="0" w:type="dxa"/>
            <w:left w:w="108" w:type="dxa"/>
            <w:bottom w:w="0" w:type="dxa"/>
            <w:right w:w="108" w:type="dxa"/>
          </w:tblCellMar>
        </w:tblPrEx>
        <w:trPr>
          <w:trHeight w:val="2326"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6</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18-连接阀</w:t>
            </w: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通常有两个或多个接口，可连接进入血管的导管或其他器械。</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用于连接管路，建立通道辅助器械进入人体，同时可减少血液流出。</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Y型连接阀</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18-连接阀</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Ⅱ</w:t>
            </w:r>
          </w:p>
        </w:tc>
      </w:tr>
      <w:tr>
        <w:tblPrEx>
          <w:tblCellMar>
            <w:top w:w="0" w:type="dxa"/>
            <w:left w:w="108" w:type="dxa"/>
            <w:bottom w:w="0" w:type="dxa"/>
            <w:right w:w="108" w:type="dxa"/>
          </w:tblCellMar>
        </w:tblPrEx>
        <w:trPr>
          <w:trHeight w:val="1949"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7</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25-延长管</w:t>
            </w: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通常由导管、接头、O型圈组成。</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用于介入手术中管路加长、药物输注和快速输液等。</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高压造影注射延长管</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25-延长管</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Ⅱ</w:t>
            </w:r>
          </w:p>
        </w:tc>
      </w:tr>
      <w:tr>
        <w:tblPrEx>
          <w:tblCellMar>
            <w:top w:w="0" w:type="dxa"/>
            <w:left w:w="108" w:type="dxa"/>
            <w:bottom w:w="0" w:type="dxa"/>
            <w:right w:w="108" w:type="dxa"/>
          </w:tblCellMar>
        </w:tblPrEx>
        <w:trPr>
          <w:trHeight w:val="234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8</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13-无源植入器械</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01-骨接合植入物</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05-</w:t>
            </w:r>
            <w:r>
              <w:rPr>
                <w:rStyle w:val="11"/>
                <w:rFonts w:hint="default" w:ascii="Times New Roman" w:hAnsi="Times New Roman" w:cs="Times New Roman"/>
                <w:b w:val="0"/>
                <w:bCs/>
                <w:sz w:val="21"/>
                <w:szCs w:val="21"/>
                <w:lang w:bidi="ar"/>
              </w:rPr>
              <w:t>金属固定环扎装置</w:t>
            </w: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通常由金属带、金属扁平条或单股或多股金属丝组成，还可包含其他附件。一般采用纯钛及钛合金、不锈钢、钴铬钼等材料制成。</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围绕着长骨，通过丝或螺钉锚定在该长骨上，用于骨折固定。</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金属缆线</w:t>
            </w:r>
            <w:r>
              <w:rPr>
                <w:rStyle w:val="12"/>
                <w:b w:val="0"/>
                <w:bCs/>
                <w:sz w:val="21"/>
                <w:szCs w:val="21"/>
                <w:lang w:bidi="ar"/>
              </w:rPr>
              <w:t>/</w:t>
            </w:r>
            <w:r>
              <w:rPr>
                <w:rStyle w:val="11"/>
                <w:rFonts w:hint="default" w:ascii="Times New Roman" w:hAnsi="Times New Roman" w:cs="Times New Roman"/>
                <w:b w:val="0"/>
                <w:bCs/>
                <w:sz w:val="21"/>
                <w:szCs w:val="21"/>
                <w:lang w:bidi="ar"/>
              </w:rPr>
              <w:t>缆索、柔性金属丝、金属缆线</w:t>
            </w:r>
            <w:r>
              <w:rPr>
                <w:rStyle w:val="12"/>
                <w:b w:val="0"/>
                <w:bCs/>
                <w:sz w:val="21"/>
                <w:szCs w:val="21"/>
                <w:lang w:bidi="ar"/>
              </w:rPr>
              <w:t>/</w:t>
            </w:r>
            <w:r>
              <w:rPr>
                <w:rStyle w:val="11"/>
                <w:rFonts w:hint="default" w:ascii="Times New Roman" w:hAnsi="Times New Roman" w:cs="Times New Roman"/>
                <w:b w:val="0"/>
                <w:bCs/>
                <w:sz w:val="21"/>
                <w:szCs w:val="21"/>
                <w:lang w:bidi="ar"/>
              </w:rPr>
              <w:t>缆索系统</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13-无源植入器械</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01-骨接合植入物</w:t>
            </w: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05-</w:t>
            </w:r>
            <w:r>
              <w:rPr>
                <w:rStyle w:val="11"/>
                <w:rFonts w:hint="default" w:ascii="Times New Roman" w:hAnsi="Times New Roman" w:cs="Times New Roman"/>
                <w:b w:val="0"/>
                <w:bCs/>
                <w:sz w:val="21"/>
                <w:szCs w:val="21"/>
                <w:lang w:bidi="ar"/>
              </w:rPr>
              <w:t>金属固定环扎装置</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通过丝或螺钉锚定在骨上，用于骨固定或骨接合。</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r>
      <w:tr>
        <w:tblPrEx>
          <w:tblCellMar>
            <w:top w:w="0" w:type="dxa"/>
            <w:left w:w="108" w:type="dxa"/>
            <w:bottom w:w="0" w:type="dxa"/>
            <w:right w:w="108" w:type="dxa"/>
          </w:tblCellMar>
        </w:tblPrEx>
        <w:trPr>
          <w:trHeight w:val="5068"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9</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13-无源植入器械</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09-整形及普通外科植入物</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02</w:t>
            </w:r>
            <w:r>
              <w:rPr>
                <w:rStyle w:val="11"/>
                <w:rFonts w:hint="default" w:ascii="Times New Roman" w:hAnsi="Times New Roman" w:cs="Times New Roman"/>
                <w:b w:val="0"/>
                <w:bCs/>
                <w:sz w:val="21"/>
                <w:szCs w:val="21"/>
                <w:lang w:bidi="ar"/>
              </w:rPr>
              <w:t>整形用注射填充物</w:t>
            </w: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通常由注射器以及预装在注射器中的填充材料组成。</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用于注射到真皮层和</w:t>
            </w:r>
            <w:r>
              <w:rPr>
                <w:rStyle w:val="12"/>
                <w:b w:val="0"/>
                <w:bCs/>
                <w:sz w:val="21"/>
                <w:szCs w:val="21"/>
                <w:lang w:bidi="ar"/>
              </w:rPr>
              <w:t>/</w:t>
            </w:r>
            <w:r>
              <w:rPr>
                <w:rStyle w:val="11"/>
                <w:rFonts w:hint="default" w:ascii="Times New Roman" w:hAnsi="Times New Roman" w:cs="Times New Roman"/>
                <w:b w:val="0"/>
                <w:bCs/>
                <w:sz w:val="21"/>
                <w:szCs w:val="21"/>
                <w:lang w:bidi="ar"/>
              </w:rPr>
              <w:t>或皮下组织，以填充增加组织容积。</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注射用交联透明质酸钠凝胶、注射用透明质酸钠凝胶、胶原蛋白植入剂、注射用聚左旋乳酸填充剂</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13-无源植入器械</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09-整形及普通外科植入物</w:t>
            </w: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02</w:t>
            </w:r>
            <w:r>
              <w:rPr>
                <w:rStyle w:val="11"/>
                <w:rFonts w:hint="default" w:ascii="Times New Roman" w:hAnsi="Times New Roman" w:cs="Times New Roman"/>
                <w:b w:val="0"/>
                <w:bCs/>
                <w:sz w:val="21"/>
                <w:szCs w:val="21"/>
                <w:lang w:bidi="ar"/>
              </w:rPr>
              <w:t>整形用注射填充物</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注射用交联透明质酸钠凝胶、注射用透明质酸钠凝胶、胶原蛋白植入剂、注射用聚左旋乳酸填充剂、重组Ⅲ型人源化胶原蛋白冻干纤维</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无变化</w:t>
            </w:r>
          </w:p>
        </w:tc>
      </w:tr>
      <w:tr>
        <w:tblPrEx>
          <w:tblCellMar>
            <w:top w:w="0" w:type="dxa"/>
            <w:left w:w="108" w:type="dxa"/>
            <w:bottom w:w="0" w:type="dxa"/>
            <w:right w:w="108" w:type="dxa"/>
          </w:tblCellMar>
        </w:tblPrEx>
        <w:trPr>
          <w:trHeight w:val="2520" w:hRule="atLeast"/>
          <w:jc w:val="center"/>
        </w:trPr>
        <w:tc>
          <w:tcPr>
            <w:tcW w:w="458"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10</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14-注输、护理和防护器械</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10-创面敷料</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08-</w:t>
            </w:r>
            <w:r>
              <w:rPr>
                <w:rStyle w:val="11"/>
                <w:rFonts w:hint="default" w:ascii="Times New Roman" w:hAnsi="Times New Roman" w:cs="Times New Roman"/>
                <w:b w:val="0"/>
                <w:bCs/>
                <w:sz w:val="21"/>
                <w:szCs w:val="21"/>
                <w:lang w:bidi="ar"/>
              </w:rPr>
              <w:t>液体、膏状敷料</w:t>
            </w: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通常为溶液或软膏（不包括凝胶）。所含成分不具有药理学作用。所含成分不可被人体吸收。无菌提供。</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通过在创面表面形成保护层，起物理屏障作用。用于小创口、擦伤、切割伤等非慢性创面及周围皮肤的护理。</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无菌液体敷料、无菌喷剂敷料、无菌伤口护理软膏、无菌液体伤口敷料</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Ⅱ</w:t>
            </w:r>
          </w:p>
        </w:tc>
        <w:tc>
          <w:tcPr>
            <w:tcW w:w="8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14-注输、护理和防护器械</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10-创面敷料</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08-</w:t>
            </w:r>
            <w:r>
              <w:rPr>
                <w:rStyle w:val="11"/>
                <w:rFonts w:hint="default" w:ascii="Times New Roman" w:hAnsi="Times New Roman" w:cs="Times New Roman"/>
                <w:b w:val="0"/>
                <w:bCs/>
                <w:sz w:val="21"/>
                <w:szCs w:val="21"/>
                <w:lang w:bidi="ar"/>
              </w:rPr>
              <w:t>液体、膏状敷料</w:t>
            </w:r>
          </w:p>
        </w:tc>
        <w:tc>
          <w:tcPr>
            <w:tcW w:w="13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通常为溶液或软膏（不包括凝胶）。所含成分不具有药理学作用。所含成分不可被人体吸收。</w:t>
            </w:r>
          </w:p>
        </w:tc>
        <w:tc>
          <w:tcPr>
            <w:tcW w:w="10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通过在创面表面形成保护层，起物理屏障作用。用于小创口、擦伤、切割伤等非慢性创面及周围皮肤的护理。</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无菌液体敷料、无菌喷剂敷料、无菌伤口护理软膏、无菌液体伤口敷料、液体敷料、喷剂敷料、伤口护理软膏、液体伤口敷料</w:t>
            </w: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Ⅱ</w:t>
            </w:r>
          </w:p>
        </w:tc>
      </w:tr>
      <w:tr>
        <w:tblPrEx>
          <w:tblCellMar>
            <w:top w:w="0" w:type="dxa"/>
            <w:left w:w="108" w:type="dxa"/>
            <w:bottom w:w="0" w:type="dxa"/>
            <w:right w:w="108" w:type="dxa"/>
          </w:tblCellMar>
        </w:tblPrEx>
        <w:trPr>
          <w:trHeight w:val="2320" w:hRule="atLeast"/>
          <w:jc w:val="center"/>
        </w:trPr>
        <w:tc>
          <w:tcPr>
            <w:tcW w:w="458"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bCs/>
                <w:color w:val="000000"/>
                <w:szCs w:val="21"/>
              </w:rPr>
            </w:pP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Cs/>
                <w:color w:val="000000"/>
                <w:szCs w:val="21"/>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Cs/>
                <w:color w:val="000000"/>
                <w:szCs w:val="21"/>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Cs/>
                <w:color w:val="000000"/>
                <w:szCs w:val="21"/>
              </w:rPr>
            </w:pP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通常为溶液或软膏（不包括凝胶）。所含成分不具有药理学作用。所含成分不可被人体吸收。非无菌提供。</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通过在创面表面形成保护层，起物理屏障作用。用于小创口、擦伤、切割伤等浅表性创面及周围皮肤的护理。</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液体敷料、喷剂敷料、伤口护理软膏、液体伤口敷料</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Cs/>
                <w:color w:val="000000"/>
                <w:szCs w:val="21"/>
              </w:rPr>
            </w:pPr>
            <w:r>
              <w:rPr>
                <w:bCs/>
                <w:color w:val="000000"/>
                <w:kern w:val="0"/>
                <w:szCs w:val="21"/>
                <w:lang w:bidi="ar"/>
              </w:rPr>
              <w:t>Ⅰ</w:t>
            </w:r>
          </w:p>
        </w:tc>
        <w:tc>
          <w:tcPr>
            <w:tcW w:w="85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Cs/>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Cs/>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Cs/>
                <w:color w:val="000000"/>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Cs/>
                <w:color w:val="000000"/>
                <w:szCs w:val="21"/>
              </w:rPr>
            </w:pPr>
          </w:p>
        </w:tc>
        <w:tc>
          <w:tcPr>
            <w:tcW w:w="109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Cs/>
                <w:color w:val="000000"/>
                <w:szCs w:val="21"/>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Cs/>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Cs/>
                <w:color w:val="000000"/>
                <w:szCs w:val="21"/>
              </w:rPr>
            </w:pPr>
          </w:p>
        </w:tc>
      </w:tr>
    </w:tbl>
    <w:p>
      <w:pPr>
        <w:rPr>
          <w:rFonts w:hint="eastAsia" w:eastAsia="仿宋_GB2312"/>
          <w:sz w:val="28"/>
          <w:szCs w:val="28"/>
        </w:rPr>
      </w:pPr>
    </w:p>
    <w:sectPr>
      <w:footerReference r:id="rId3" w:type="default"/>
      <w:footerReference r:id="rId4" w:type="even"/>
      <w:pgSz w:w="16838" w:h="11906" w:orient="landscape"/>
      <w:pgMar w:top="1134" w:right="1134" w:bottom="1134" w:left="1134" w:header="851" w:footer="737" w:gutter="0"/>
      <w:cols w:space="72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20F5"/>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4F7E2A"/>
    <w:rsid w:val="0050179C"/>
    <w:rsid w:val="005410CE"/>
    <w:rsid w:val="005455A8"/>
    <w:rsid w:val="0056324D"/>
    <w:rsid w:val="00564625"/>
    <w:rsid w:val="0056661D"/>
    <w:rsid w:val="00581B3E"/>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730E8"/>
    <w:rsid w:val="00F8685B"/>
    <w:rsid w:val="00FA60C8"/>
    <w:rsid w:val="00FD22E5"/>
    <w:rsid w:val="00FD443E"/>
    <w:rsid w:val="00FD754D"/>
    <w:rsid w:val="0AAE308E"/>
    <w:rsid w:val="0BEC7EA0"/>
    <w:rsid w:val="0F9E0E77"/>
    <w:rsid w:val="17B7B641"/>
    <w:rsid w:val="273F0DA7"/>
    <w:rsid w:val="29EDB553"/>
    <w:rsid w:val="2A8D465A"/>
    <w:rsid w:val="2ADFE5D7"/>
    <w:rsid w:val="2EFFAC97"/>
    <w:rsid w:val="35BF7539"/>
    <w:rsid w:val="3A85C5CC"/>
    <w:rsid w:val="43E2636A"/>
    <w:rsid w:val="46FFA7E5"/>
    <w:rsid w:val="4BFF57EB"/>
    <w:rsid w:val="4C1A048F"/>
    <w:rsid w:val="591D3208"/>
    <w:rsid w:val="5ADFC6F5"/>
    <w:rsid w:val="5F297A5F"/>
    <w:rsid w:val="63E446CD"/>
    <w:rsid w:val="63EDFE96"/>
    <w:rsid w:val="687FBB2A"/>
    <w:rsid w:val="6BCBFA0D"/>
    <w:rsid w:val="6BFFD120"/>
    <w:rsid w:val="6FEFACE7"/>
    <w:rsid w:val="75FBBAB6"/>
    <w:rsid w:val="76F51E30"/>
    <w:rsid w:val="7D3F58E3"/>
    <w:rsid w:val="7D59CDAE"/>
    <w:rsid w:val="7DF7BFE5"/>
    <w:rsid w:val="7ED62E8A"/>
    <w:rsid w:val="7F2BA17C"/>
    <w:rsid w:val="7F6C7EE4"/>
    <w:rsid w:val="7FDF1D24"/>
    <w:rsid w:val="B5E614D2"/>
    <w:rsid w:val="B7BB9FBE"/>
    <w:rsid w:val="B7FB575F"/>
    <w:rsid w:val="B9FF258E"/>
    <w:rsid w:val="BDAF2565"/>
    <w:rsid w:val="BE7FD8ED"/>
    <w:rsid w:val="CC1E686C"/>
    <w:rsid w:val="D3F7B903"/>
    <w:rsid w:val="DE7C2AC9"/>
    <w:rsid w:val="DFF54689"/>
    <w:rsid w:val="DFFD1973"/>
    <w:rsid w:val="EB7D6BB1"/>
    <w:rsid w:val="EEFEB0A0"/>
    <w:rsid w:val="EF794445"/>
    <w:rsid w:val="EFEF1B44"/>
    <w:rsid w:val="F6EF92BD"/>
    <w:rsid w:val="F77E5CB9"/>
    <w:rsid w:val="FB77452B"/>
    <w:rsid w:val="FDCF8965"/>
    <w:rsid w:val="FF3787D0"/>
    <w:rsid w:val="FF72B227"/>
    <w:rsid w:val="FFBD01B8"/>
    <w:rsid w:val="FFBFB8A9"/>
    <w:rsid w:val="FFEF52B6"/>
    <w:rsid w:val="FFFFF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uiPriority w:val="99"/>
    <w:rPr>
      <w:kern w:val="2"/>
      <w:sz w:val="18"/>
      <w:szCs w:val="18"/>
    </w:rPr>
  </w:style>
  <w:style w:type="character" w:customStyle="1" w:styleId="10">
    <w:name w:val="页眉 Char"/>
    <w:link w:val="5"/>
    <w:uiPriority w:val="99"/>
    <w:rPr>
      <w:kern w:val="2"/>
      <w:sz w:val="18"/>
      <w:szCs w:val="18"/>
    </w:rPr>
  </w:style>
  <w:style w:type="character" w:customStyle="1" w:styleId="11">
    <w:name w:val="font11"/>
    <w:basedOn w:val="7"/>
    <w:uiPriority w:val="0"/>
    <w:rPr>
      <w:rFonts w:hint="eastAsia" w:ascii="宋体" w:hAnsi="宋体" w:eastAsia="宋体" w:cs="宋体"/>
      <w:b/>
      <w:color w:val="000000"/>
      <w:sz w:val="24"/>
      <w:szCs w:val="24"/>
      <w:u w:val="none"/>
    </w:rPr>
  </w:style>
  <w:style w:type="character" w:customStyle="1" w:styleId="12">
    <w:name w:val="font01"/>
    <w:basedOn w:val="7"/>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Pages>
  <Words>359</Words>
  <Characters>2049</Characters>
  <Lines>17</Lines>
  <Paragraphs>4</Paragraphs>
  <TotalTime>1</TotalTime>
  <ScaleCrop>false</ScaleCrop>
  <LinksUpToDate>false</LinksUpToDate>
  <CharactersWithSpaces>2404</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2022-03-24T07:42:00Z</dcterms:created>
  <dc:creator>Xtzj.User</dc:creator>
  <cp:lastModifiedBy>ZAF</cp:lastModifiedBy>
  <cp:lastPrinted>2022-03-24T17:28:00Z</cp:lastPrinted>
  <dcterms:modified xsi:type="dcterms:W3CDTF">2022-07-11T09:37:34Z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A999520FE9B94F99A40196A290BB4032</vt:lpwstr>
  </property>
</Properties>
</file>