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tabs>
          <w:tab w:val="left" w:pos="0"/>
        </w:tabs>
        <w:kinsoku/>
        <w:wordWrap/>
        <w:overflowPunct/>
        <w:topLinePunct w:val="0"/>
        <w:autoSpaceDE/>
        <w:autoSpaceDN/>
        <w:bidi w:val="0"/>
        <w:adjustRightInd/>
        <w:spacing w:line="360" w:lineRule="auto"/>
        <w:ind w:firstLine="0" w:firstLineChars="0"/>
        <w:textAlignment w:val="auto"/>
        <w:rPr>
          <w:rFonts w:hint="eastAsia" w:eastAsia="黑体"/>
          <w:sz w:val="24"/>
          <w:szCs w:val="24"/>
        </w:rPr>
      </w:pPr>
      <w:r>
        <w:rPr>
          <w:rFonts w:hint="eastAsia" w:ascii="黑体" w:hAnsi="黑体" w:eastAsia="黑体" w:cs="黑体"/>
          <w:sz w:val="24"/>
          <w:szCs w:val="24"/>
        </w:rPr>
        <w:t>附件2</w:t>
      </w:r>
    </w:p>
    <w:p>
      <w:pPr>
        <w:keepNext w:val="0"/>
        <w:keepLines w:val="0"/>
        <w:pageBreakBefore w:val="0"/>
        <w:kinsoku/>
        <w:wordWrap/>
        <w:overflowPunct/>
        <w:topLinePunct w:val="0"/>
        <w:autoSpaceDE/>
        <w:autoSpaceDN/>
        <w:bidi w:val="0"/>
        <w:adjustRightInd/>
        <w:spacing w:line="360" w:lineRule="auto"/>
        <w:textAlignment w:val="auto"/>
        <w:rPr>
          <w:rFonts w:hint="eastAsia" w:eastAsia="黑体"/>
          <w:sz w:val="24"/>
          <w:szCs w:val="24"/>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eastAsia="方正小标宋简体"/>
          <w:sz w:val="36"/>
          <w:szCs w:val="36"/>
        </w:rPr>
      </w:pPr>
      <w:r>
        <w:rPr>
          <w:rFonts w:eastAsia="方正小标宋简体"/>
          <w:sz w:val="36"/>
          <w:szCs w:val="36"/>
        </w:rPr>
        <w:t>关于实施《药品上市后变更管理办法</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eastAsia="方正小标宋简体"/>
          <w:sz w:val="36"/>
          <w:szCs w:val="36"/>
        </w:rPr>
      </w:pPr>
      <w:r>
        <w:rPr>
          <w:rFonts w:eastAsia="方正小标宋简体"/>
          <w:sz w:val="36"/>
          <w:szCs w:val="36"/>
        </w:rPr>
        <w:t>（试行）》有关事宜的说明</w:t>
      </w:r>
    </w:p>
    <w:p>
      <w:pPr>
        <w:keepNext w:val="0"/>
        <w:keepLines w:val="0"/>
        <w:pageBreakBefore w:val="0"/>
        <w:kinsoku/>
        <w:wordWrap/>
        <w:overflowPunct/>
        <w:topLinePunct w:val="0"/>
        <w:autoSpaceDE/>
        <w:autoSpaceDN/>
        <w:bidi w:val="0"/>
        <w:adjustRightInd/>
        <w:spacing w:line="360" w:lineRule="auto"/>
        <w:textAlignment w:val="auto"/>
        <w:rPr>
          <w:rFonts w:hint="eastAsia" w:eastAsia="仿宋_GB2312"/>
          <w:sz w:val="24"/>
          <w:szCs w:val="24"/>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仿宋_GB2312"/>
          <w:sz w:val="24"/>
          <w:szCs w:val="24"/>
        </w:rPr>
      </w:pPr>
      <w:r>
        <w:rPr>
          <w:rFonts w:hint="eastAsia" w:eastAsia="仿宋_GB2312"/>
          <w:sz w:val="24"/>
          <w:szCs w:val="24"/>
        </w:rPr>
        <w:t>为进一步加强药品上市后变更管理，做好《药品上市后变更管理办法（试行）》（以下简称《办法》）实施工作，现将有关事宜说明如下：</w:t>
      </w:r>
    </w:p>
    <w:p>
      <w:pPr>
        <w:keepNext w:val="0"/>
        <w:keepLines w:val="0"/>
        <w:pageBreakBefore w:val="0"/>
        <w:kinsoku/>
        <w:wordWrap/>
        <w:overflowPunct/>
        <w:topLinePunct w:val="0"/>
        <w:autoSpaceDE/>
        <w:autoSpaceDN/>
        <w:bidi w:val="0"/>
        <w:adjustRightInd/>
        <w:spacing w:line="360" w:lineRule="auto"/>
        <w:textAlignment w:val="auto"/>
        <w:rPr>
          <w:rFonts w:eastAsia="仿宋_GB2312"/>
          <w:sz w:val="24"/>
          <w:szCs w:val="24"/>
        </w:rPr>
      </w:pPr>
      <w:r>
        <w:rPr>
          <w:rFonts w:hint="eastAsia" w:eastAsia="仿宋_GB2312"/>
          <w:sz w:val="24"/>
          <w:szCs w:val="24"/>
        </w:rPr>
        <w:t xml:space="preserve">    一</w:t>
      </w:r>
      <w:r>
        <w:rPr>
          <w:rFonts w:eastAsia="仿宋_GB2312"/>
          <w:sz w:val="24"/>
          <w:szCs w:val="24"/>
        </w:rPr>
        <w:t>、持有人应当充分研究，确保变更后的药品与原药品质量和疗效一致</w:t>
      </w:r>
      <w:r>
        <w:rPr>
          <w:rFonts w:hint="eastAsia" w:eastAsia="仿宋_GB2312"/>
          <w:sz w:val="24"/>
          <w:szCs w:val="24"/>
        </w:rPr>
        <w:t>。</w:t>
      </w:r>
      <w:r>
        <w:rPr>
          <w:rFonts w:eastAsia="仿宋_GB2312"/>
          <w:sz w:val="24"/>
          <w:szCs w:val="24"/>
        </w:rPr>
        <w:t>省级药品监管部门应加强对药品上市后变更的监管，特别要强化对已经通过仿制药质量和疗效一致性评价药品的变更监管。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仿宋_GB2312"/>
          <w:sz w:val="24"/>
          <w:szCs w:val="24"/>
        </w:rPr>
      </w:pPr>
      <w:r>
        <w:rPr>
          <w:rFonts w:hint="eastAsia" w:eastAsia="仿宋_GB2312"/>
          <w:sz w:val="24"/>
          <w:szCs w:val="24"/>
        </w:rPr>
        <w:t>二</w:t>
      </w:r>
      <w:r>
        <w:rPr>
          <w:rFonts w:eastAsia="仿宋_GB2312"/>
          <w:sz w:val="24"/>
          <w:szCs w:val="24"/>
        </w:rPr>
        <w:t>、本公告发布前已受理的药品上市后变更补充申请及备案事项可按原程序和有关技术要求继续办理。持有人也可主动撤回原申请，按照《办法》要求进行补充申请、备案或报告。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仿宋_GB2312"/>
          <w:sz w:val="24"/>
          <w:szCs w:val="24"/>
        </w:rPr>
      </w:pPr>
      <w:r>
        <w:rPr>
          <w:rFonts w:hint="eastAsia" w:eastAsia="仿宋_GB2312"/>
          <w:sz w:val="24"/>
          <w:szCs w:val="24"/>
        </w:rPr>
        <w:t>三、对《办法》第10条实施设置过渡期。为避免政策变化影响行政相对人的权益，原国家食品药品监督管理局发布的《关于印发药品技术转让注册管理规定的通知》（国食药监注</w:t>
      </w:r>
      <w:r>
        <w:rPr>
          <w:rFonts w:eastAsia="仿宋_GB2312"/>
          <w:sz w:val="24"/>
          <w:szCs w:val="24"/>
        </w:rPr>
        <w:t>〔2009〕518号，以下简称518号文</w:t>
      </w:r>
      <w:r>
        <w:rPr>
          <w:rFonts w:hint="eastAsia" w:eastAsia="仿宋_GB2312"/>
          <w:sz w:val="24"/>
          <w:szCs w:val="24"/>
        </w:rPr>
        <w:t>）中境外生产药品（原进口药品）通过药品生产技术转让为境内生产的，境内持有人可在2023年1月15日前继续按照518号文的要求开展研究并申报补充申请，逾期停止受理。国家药品监管部门按照518号文的要求，在规定时限内完成审评审批，不符合要求或者逾期未按要求补正的不予批准。</w:t>
      </w:r>
    </w:p>
    <w:p>
      <w:pPr>
        <w:keepNext w:val="0"/>
        <w:keepLines w:val="0"/>
        <w:pageBreakBefore w:val="0"/>
        <w:kinsoku/>
        <w:wordWrap/>
        <w:overflowPunct/>
        <w:topLinePunct w:val="0"/>
        <w:autoSpaceDE/>
        <w:autoSpaceDN/>
        <w:bidi w:val="0"/>
        <w:adjustRightInd/>
        <w:spacing w:line="360" w:lineRule="auto"/>
        <w:textAlignment w:val="auto"/>
        <w:rPr>
          <w:rFonts w:hint="eastAsia" w:eastAsia="仿宋_GB2312"/>
          <w:sz w:val="24"/>
          <w:szCs w:val="24"/>
        </w:rPr>
      </w:pPr>
      <w:r>
        <w:rPr>
          <w:rFonts w:hint="eastAsia" w:eastAsia="仿宋_GB2312"/>
          <w:sz w:val="24"/>
          <w:szCs w:val="24"/>
        </w:rPr>
        <w:t xml:space="preserve">    四、持有人通过国家药监局药品注册网上申报功能在“药品业务应用系统”中对备案类变更进行备案，药审中心和各省级药品监管部门在“药品业务应用系统”中对相关资料完成接收工作。备案完成之日起5日内，国家药监局官方网站对备案信息进行公示。持有人可在国家药监局官方网站“查询”---“药品”中查询备案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mExM2Y2NGQ2OWM1N2IzY2E5MjM5Mjc4OWY3OTYifQ=="/>
  </w:docVars>
  <w:rsids>
    <w:rsidRoot w:val="2DEA2469"/>
    <w:rsid w:val="2DEA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2022-07-18T02:03:00Z</dcterms:created>
  <dc:creator>WPS_1605086118</dc:creator>
  <cp:lastModifiedBy>WPS_1605086118</cp:lastModifiedBy>
  <dcterms:modified xsi:type="dcterms:W3CDTF">2022-07-18T02:07:49Z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DDF7D0916AA74B31A0326254A5732DED</vt:lpwstr>
  </property>
</Properties>
</file>