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60" w:lineRule="auto"/>
        <w:textAlignment w:val="auto"/>
        <w:rPr>
          <w:rFonts w:hint="eastAsia" w:eastAsia="黑体"/>
          <w:color w:val="FF0000"/>
          <w:sz w:val="24"/>
          <w:szCs w:val="24"/>
        </w:rPr>
      </w:pPr>
      <w:r>
        <w:rPr>
          <w:rFonts w:hint="eastAsia" w:ascii="黑体" w:hAnsi="黑体" w:eastAsia="黑体" w:cs="黑体"/>
          <w:sz w:val="24"/>
          <w:szCs w:val="24"/>
        </w:rPr>
        <w:t>附件1</w:t>
      </w:r>
    </w:p>
    <w:p>
      <w:pPr>
        <w:keepNext w:val="0"/>
        <w:keepLines w:val="0"/>
        <w:pageBreakBefore w:val="0"/>
        <w:kinsoku/>
        <w:wordWrap/>
        <w:overflowPunct/>
        <w:topLinePunct w:val="0"/>
        <w:autoSpaceDE/>
        <w:autoSpaceDN/>
        <w:bidi w:val="0"/>
        <w:adjustRightInd/>
        <w:spacing w:line="360" w:lineRule="auto"/>
        <w:textAlignment w:val="auto"/>
        <w:rPr>
          <w:rFonts w:eastAsia="黑体"/>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36"/>
          <w:szCs w:val="36"/>
        </w:rPr>
      </w:pPr>
      <w:r>
        <w:rPr>
          <w:rFonts w:eastAsia="方正小标宋简体"/>
          <w:sz w:val="36"/>
          <w:szCs w:val="36"/>
        </w:rPr>
        <w:t>药品</w:t>
      </w:r>
      <w:bookmarkStart w:id="0" w:name="_GoBack"/>
      <w:bookmarkEnd w:id="0"/>
      <w:r>
        <w:rPr>
          <w:rFonts w:eastAsia="方正小标宋简体"/>
          <w:sz w:val="36"/>
          <w:szCs w:val="36"/>
        </w:rPr>
        <w:t>上市后变更管理办法（试行）</w:t>
      </w: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8"/>
          <w:szCs w:val="28"/>
        </w:rPr>
      </w:pP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4"/>
          <w:szCs w:val="24"/>
        </w:rPr>
      </w:pPr>
      <w:r>
        <w:rPr>
          <w:rFonts w:eastAsia="方正小标宋简体"/>
          <w:sz w:val="24"/>
          <w:szCs w:val="24"/>
        </w:rPr>
        <w:t>第一章  总  则</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为进一步规范药品上市后变更，强化药品上市许可持有人（以下简称持有人）药品上市后变更管理责任，</w:t>
      </w:r>
      <w:r>
        <w:rPr>
          <w:rFonts w:hint="eastAsia" w:eastAsia="仿宋_GB2312"/>
          <w:sz w:val="24"/>
          <w:szCs w:val="24"/>
        </w:rPr>
        <w:t>加强药品监管部门药品注册和生产监督管理工作的衔接，</w:t>
      </w:r>
      <w:r>
        <w:rPr>
          <w:rFonts w:eastAsia="仿宋_GB2312"/>
          <w:sz w:val="24"/>
          <w:szCs w:val="24"/>
        </w:rPr>
        <w:t>根据《药品管理法》《疫苗管理法》和《药品注册管理办法》（国家市场监督管理总局令第27号）、《药品生产监督管理办法》（国家市场监督管理总局令第28号），制定本办法。</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本办法所指药品上市后变更</w:t>
      </w:r>
      <w:r>
        <w:rPr>
          <w:rFonts w:hint="eastAsia" w:eastAsia="仿宋_GB2312"/>
          <w:sz w:val="24"/>
          <w:szCs w:val="24"/>
        </w:rPr>
        <w:t>包括</w:t>
      </w:r>
      <w:r>
        <w:rPr>
          <w:rFonts w:eastAsia="仿宋_GB2312"/>
          <w:sz w:val="24"/>
          <w:szCs w:val="24"/>
        </w:rPr>
        <w:t>注册管理事项变更和生产</w:t>
      </w:r>
      <w:r>
        <w:rPr>
          <w:rFonts w:hint="eastAsia" w:eastAsia="仿宋_GB2312"/>
          <w:sz w:val="24"/>
          <w:szCs w:val="24"/>
        </w:rPr>
        <w:t>监管</w:t>
      </w:r>
      <w:r>
        <w:rPr>
          <w:rFonts w:eastAsia="仿宋_GB2312"/>
          <w:sz w:val="24"/>
          <w:szCs w:val="24"/>
        </w:rPr>
        <w:t>事项变更。</w:t>
      </w:r>
    </w:p>
    <w:p>
      <w:pPr>
        <w:pStyle w:val="4"/>
        <w:keepNext w:val="0"/>
        <w:keepLines w:val="0"/>
        <w:pageBreakBefore w:val="0"/>
        <w:tabs>
          <w:tab w:val="left" w:pos="0"/>
        </w:tabs>
        <w:kinsoku/>
        <w:wordWrap/>
        <w:overflowPunct/>
        <w:topLinePunct w:val="0"/>
        <w:autoSpaceDE/>
        <w:autoSpaceDN/>
        <w:bidi w:val="0"/>
        <w:adjustRightInd/>
        <w:spacing w:line="360" w:lineRule="auto"/>
        <w:ind w:firstLine="640" w:firstLineChars="0"/>
        <w:textAlignment w:val="auto"/>
        <w:rPr>
          <w:rFonts w:hint="eastAsia" w:eastAsia="仿宋_GB2312"/>
          <w:sz w:val="24"/>
          <w:szCs w:val="24"/>
        </w:rPr>
      </w:pPr>
      <w:r>
        <w:rPr>
          <w:rFonts w:eastAsia="仿宋_GB2312"/>
          <w:sz w:val="24"/>
          <w:szCs w:val="24"/>
        </w:rPr>
        <w:t>注册管理事项变更包括药品</w:t>
      </w:r>
      <w:r>
        <w:rPr>
          <w:rFonts w:hint="eastAsia" w:eastAsia="仿宋_GB2312"/>
          <w:sz w:val="24"/>
          <w:szCs w:val="24"/>
        </w:rPr>
        <w:t>注册</w:t>
      </w:r>
      <w:r>
        <w:rPr>
          <w:rFonts w:eastAsia="仿宋_GB2312"/>
          <w:sz w:val="24"/>
          <w:szCs w:val="24"/>
        </w:rPr>
        <w:t>批准证明文件及其附件载明的技术内容和相应管理信息的变更</w:t>
      </w:r>
      <w:r>
        <w:rPr>
          <w:rFonts w:hint="eastAsia" w:eastAsia="仿宋_GB2312"/>
          <w:sz w:val="24"/>
          <w:szCs w:val="24"/>
        </w:rPr>
        <w:t>，</w:t>
      </w:r>
      <w:r>
        <w:rPr>
          <w:rFonts w:eastAsia="仿宋_GB2312"/>
          <w:sz w:val="24"/>
          <w:szCs w:val="24"/>
        </w:rPr>
        <w:t>具体变更管理要求按照《药品</w:t>
      </w:r>
      <w:r>
        <w:rPr>
          <w:rFonts w:hint="eastAsia" w:eastAsia="仿宋_GB2312"/>
          <w:sz w:val="24"/>
          <w:szCs w:val="24"/>
        </w:rPr>
        <w:t>注册</w:t>
      </w:r>
      <w:r>
        <w:rPr>
          <w:rFonts w:eastAsia="仿宋_GB2312"/>
          <w:sz w:val="24"/>
          <w:szCs w:val="24"/>
        </w:rPr>
        <w:t>管理办法》</w:t>
      </w:r>
      <w:r>
        <w:rPr>
          <w:rFonts w:hint="eastAsia" w:eastAsia="仿宋_GB2312"/>
          <w:sz w:val="24"/>
          <w:szCs w:val="24"/>
        </w:rPr>
        <w:t>及相关技术指导原则</w:t>
      </w:r>
      <w:r>
        <w:rPr>
          <w:rFonts w:eastAsia="仿宋_GB2312"/>
          <w:sz w:val="24"/>
          <w:szCs w:val="24"/>
        </w:rPr>
        <w:t>的有关规定执行。</w:t>
      </w:r>
    </w:p>
    <w:p>
      <w:pPr>
        <w:pStyle w:val="4"/>
        <w:keepNext w:val="0"/>
        <w:keepLines w:val="0"/>
        <w:pageBreakBefore w:val="0"/>
        <w:tabs>
          <w:tab w:val="left" w:pos="0"/>
        </w:tabs>
        <w:kinsoku/>
        <w:wordWrap/>
        <w:overflowPunct/>
        <w:topLinePunct w:val="0"/>
        <w:autoSpaceDE/>
        <w:autoSpaceDN/>
        <w:bidi w:val="0"/>
        <w:adjustRightInd/>
        <w:spacing w:line="360" w:lineRule="auto"/>
        <w:ind w:firstLine="640" w:firstLineChars="0"/>
        <w:textAlignment w:val="auto"/>
        <w:rPr>
          <w:rFonts w:hint="eastAsia" w:eastAsia="仿宋_GB2312"/>
          <w:sz w:val="24"/>
          <w:szCs w:val="24"/>
        </w:rPr>
      </w:pPr>
      <w:r>
        <w:rPr>
          <w:rFonts w:eastAsia="仿宋_GB2312"/>
          <w:sz w:val="24"/>
          <w:szCs w:val="24"/>
        </w:rPr>
        <w:t>生产监管事项变更包括药品生产许可证载明的许可事项变更和登记事项变更，具体变更管理要求按照《药品注册管理办法》《药品生产监督管理办法》</w:t>
      </w:r>
      <w:r>
        <w:rPr>
          <w:rFonts w:hint="eastAsia" w:eastAsia="仿宋_GB2312"/>
          <w:sz w:val="24"/>
          <w:szCs w:val="24"/>
        </w:rPr>
        <w:t>及药品生产质量管理规范</w:t>
      </w:r>
      <w:r>
        <w:rPr>
          <w:rFonts w:eastAsia="仿宋_GB2312"/>
          <w:sz w:val="24"/>
          <w:szCs w:val="24"/>
        </w:rPr>
        <w:t>的有关规定执行。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持有人</w:t>
      </w:r>
      <w:r>
        <w:rPr>
          <w:rFonts w:hint="eastAsia" w:eastAsia="仿宋_GB2312"/>
          <w:sz w:val="24"/>
          <w:szCs w:val="24"/>
        </w:rPr>
        <w:t>应当</w:t>
      </w:r>
      <w:r>
        <w:rPr>
          <w:rFonts w:eastAsia="仿宋_GB2312"/>
          <w:sz w:val="24"/>
          <w:szCs w:val="24"/>
        </w:rPr>
        <w:t>主动开展药品上市后研究，实现药品全生命周期管理。鼓励持有人运用新生产技术、新方法、新</w:t>
      </w:r>
      <w:r>
        <w:rPr>
          <w:rFonts w:hint="eastAsia" w:eastAsia="仿宋_GB2312"/>
          <w:sz w:val="24"/>
          <w:szCs w:val="24"/>
        </w:rPr>
        <w:t>设</w:t>
      </w:r>
      <w:r>
        <w:rPr>
          <w:rFonts w:eastAsia="仿宋_GB2312"/>
          <w:sz w:val="24"/>
          <w:szCs w:val="24"/>
        </w:rPr>
        <w:t>备、新科技成果，不断改进和优化生产工艺，持续提高药品质量，提升药品安全性、有效性和质量可控性。</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hint="eastAsia" w:eastAsia="仿宋_GB2312"/>
          <w:sz w:val="24"/>
          <w:szCs w:val="24"/>
        </w:rPr>
      </w:pPr>
      <w:r>
        <w:rPr>
          <w:rFonts w:eastAsia="仿宋_GB2312"/>
          <w:sz w:val="24"/>
          <w:szCs w:val="24"/>
        </w:rPr>
        <w:t>药品上市后变更不得对药品的安全性、有效性和质量可控性产生不良影响。</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持有人是药品上市后变更管理的责任主体，</w:t>
      </w:r>
      <w:r>
        <w:rPr>
          <w:rFonts w:hint="eastAsia" w:eastAsia="仿宋_GB2312"/>
          <w:sz w:val="24"/>
          <w:szCs w:val="24"/>
        </w:rPr>
        <w:t>应当</w:t>
      </w:r>
      <w:r>
        <w:rPr>
          <w:rFonts w:eastAsia="仿宋_GB2312"/>
          <w:sz w:val="24"/>
          <w:szCs w:val="24"/>
        </w:rPr>
        <w:t>按照药品监管法律法规和药品生产质量管理规范等有关要求建立药品上市后变更控制体系；根据</w:t>
      </w:r>
      <w:r>
        <w:rPr>
          <w:rFonts w:hint="eastAsia" w:eastAsia="仿宋_GB2312"/>
          <w:sz w:val="24"/>
          <w:szCs w:val="24"/>
        </w:rPr>
        <w:t>国家药品监督管理局</w:t>
      </w:r>
      <w:r>
        <w:rPr>
          <w:rFonts w:eastAsia="仿宋_GB2312"/>
          <w:sz w:val="24"/>
          <w:szCs w:val="24"/>
        </w:rPr>
        <w:t>有关技术指导原则和国际人用药注册协调组织（ICH）有关</w:t>
      </w:r>
      <w:r>
        <w:rPr>
          <w:rFonts w:hint="eastAsia" w:eastAsia="仿宋_GB2312"/>
          <w:sz w:val="24"/>
          <w:szCs w:val="24"/>
        </w:rPr>
        <w:t>技术</w:t>
      </w:r>
      <w:r>
        <w:rPr>
          <w:rFonts w:eastAsia="仿宋_GB2312"/>
          <w:sz w:val="24"/>
          <w:szCs w:val="24"/>
        </w:rPr>
        <w:t>指导原则</w:t>
      </w:r>
      <w:r>
        <w:rPr>
          <w:rFonts w:hint="eastAsia" w:eastAsia="仿宋_GB2312"/>
          <w:sz w:val="24"/>
          <w:szCs w:val="24"/>
        </w:rPr>
        <w:t>制定</w:t>
      </w:r>
      <w:r>
        <w:rPr>
          <w:rFonts w:eastAsia="仿宋_GB2312"/>
          <w:sz w:val="24"/>
          <w:szCs w:val="24"/>
        </w:rPr>
        <w:t>实施</w:t>
      </w:r>
      <w:r>
        <w:rPr>
          <w:rFonts w:hint="eastAsia" w:eastAsia="仿宋_GB2312"/>
          <w:sz w:val="24"/>
          <w:szCs w:val="24"/>
        </w:rPr>
        <w:t>持有人</w:t>
      </w:r>
      <w:r>
        <w:rPr>
          <w:rFonts w:eastAsia="仿宋_GB2312"/>
          <w:sz w:val="24"/>
          <w:szCs w:val="24"/>
        </w:rPr>
        <w:t>内部变更分类原则、</w:t>
      </w:r>
      <w:r>
        <w:rPr>
          <w:rFonts w:hint="eastAsia" w:eastAsia="仿宋_GB2312"/>
          <w:sz w:val="24"/>
          <w:szCs w:val="24"/>
        </w:rPr>
        <w:t>变更事项清单、</w:t>
      </w:r>
      <w:r>
        <w:rPr>
          <w:rFonts w:eastAsia="仿宋_GB2312"/>
          <w:sz w:val="24"/>
          <w:szCs w:val="24"/>
        </w:rPr>
        <w:t>工作程序和风险管理</w:t>
      </w:r>
      <w:r>
        <w:rPr>
          <w:rFonts w:hint="eastAsia" w:eastAsia="仿宋_GB2312"/>
          <w:sz w:val="24"/>
          <w:szCs w:val="24"/>
        </w:rPr>
        <w:t>要求</w:t>
      </w:r>
      <w:r>
        <w:rPr>
          <w:rFonts w:eastAsia="仿宋_GB2312"/>
          <w:sz w:val="24"/>
          <w:szCs w:val="24"/>
        </w:rPr>
        <w:t>，结合产品特点，经充分研究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验证后确定变更管理类别。</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注册</w:t>
      </w:r>
      <w:r>
        <w:rPr>
          <w:rFonts w:eastAsia="仿宋_GB2312"/>
          <w:sz w:val="24"/>
          <w:szCs w:val="24"/>
        </w:rPr>
        <w:t>变更管理类别</w:t>
      </w:r>
      <w:r>
        <w:rPr>
          <w:rFonts w:hint="eastAsia" w:eastAsia="仿宋_GB2312"/>
          <w:sz w:val="24"/>
          <w:szCs w:val="24"/>
        </w:rPr>
        <w:t>根据法律法规要求和变更对药品安全、有效和质量可控性可能产生影响的风险程度，</w:t>
      </w:r>
      <w:r>
        <w:rPr>
          <w:rFonts w:eastAsia="仿宋_GB2312"/>
          <w:sz w:val="24"/>
          <w:szCs w:val="24"/>
        </w:rPr>
        <w:t>分为</w:t>
      </w:r>
      <w:r>
        <w:rPr>
          <w:rFonts w:hint="eastAsia" w:eastAsia="仿宋_GB2312"/>
          <w:sz w:val="24"/>
          <w:szCs w:val="24"/>
        </w:rPr>
        <w:t>审批类</w:t>
      </w:r>
      <w:r>
        <w:rPr>
          <w:rFonts w:eastAsia="仿宋_GB2312"/>
          <w:sz w:val="24"/>
          <w:szCs w:val="24"/>
        </w:rPr>
        <w:t>变更、</w:t>
      </w:r>
      <w:r>
        <w:rPr>
          <w:rFonts w:hint="eastAsia" w:eastAsia="仿宋_GB2312"/>
          <w:sz w:val="24"/>
          <w:szCs w:val="24"/>
        </w:rPr>
        <w:t>备案类</w:t>
      </w:r>
      <w:r>
        <w:rPr>
          <w:rFonts w:eastAsia="仿宋_GB2312"/>
          <w:sz w:val="24"/>
          <w:szCs w:val="24"/>
        </w:rPr>
        <w:t>变更和</w:t>
      </w:r>
      <w:r>
        <w:rPr>
          <w:rFonts w:hint="eastAsia" w:eastAsia="仿宋_GB2312"/>
          <w:sz w:val="24"/>
          <w:szCs w:val="24"/>
        </w:rPr>
        <w:t>报告类</w:t>
      </w:r>
      <w:r>
        <w:rPr>
          <w:rFonts w:eastAsia="仿宋_GB2312"/>
          <w:sz w:val="24"/>
          <w:szCs w:val="24"/>
        </w:rPr>
        <w:t>变更，分别按照《药品注册管理办法》</w:t>
      </w:r>
      <w:r>
        <w:rPr>
          <w:rFonts w:hint="eastAsia" w:eastAsia="仿宋_GB2312"/>
          <w:sz w:val="24"/>
          <w:szCs w:val="24"/>
        </w:rPr>
        <w:t>《药品生产监督管理办法》的</w:t>
      </w:r>
      <w:r>
        <w:rPr>
          <w:rFonts w:eastAsia="仿宋_GB2312"/>
          <w:sz w:val="24"/>
          <w:szCs w:val="24"/>
        </w:rPr>
        <w:t>有关规定经批准、备案后实施或报告。</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国家药品监督管理局负责组织制定药品上市后变更管理规定</w:t>
      </w:r>
      <w:r>
        <w:rPr>
          <w:rFonts w:hint="eastAsia" w:eastAsia="仿宋_GB2312"/>
          <w:sz w:val="24"/>
          <w:szCs w:val="24"/>
        </w:rPr>
        <w:t>、</w:t>
      </w:r>
      <w:r>
        <w:rPr>
          <w:rFonts w:eastAsia="仿宋_GB2312"/>
          <w:sz w:val="24"/>
          <w:szCs w:val="24"/>
        </w:rPr>
        <w:t>有关技术指导原则</w:t>
      </w:r>
      <w:r>
        <w:rPr>
          <w:rFonts w:hint="eastAsia" w:eastAsia="仿宋_GB2312"/>
          <w:sz w:val="24"/>
          <w:szCs w:val="24"/>
        </w:rPr>
        <w:t>和具体工作要求</w:t>
      </w:r>
      <w:r>
        <w:rPr>
          <w:rFonts w:eastAsia="仿宋_GB2312"/>
          <w:sz w:val="24"/>
          <w:szCs w:val="24"/>
        </w:rPr>
        <w:t>；负责药品上市后注册管理事项变更</w:t>
      </w:r>
      <w:r>
        <w:rPr>
          <w:rFonts w:hint="eastAsia" w:eastAsia="仿宋_GB2312"/>
          <w:sz w:val="24"/>
          <w:szCs w:val="24"/>
        </w:rPr>
        <w:t>的审批</w:t>
      </w:r>
      <w:r>
        <w:rPr>
          <w:rFonts w:eastAsia="仿宋_GB2312"/>
          <w:sz w:val="24"/>
          <w:szCs w:val="24"/>
        </w:rPr>
        <w:t>及境外生产药品</w:t>
      </w:r>
      <w:r>
        <w:rPr>
          <w:rFonts w:hint="eastAsia" w:eastAsia="仿宋_GB2312"/>
          <w:sz w:val="24"/>
          <w:szCs w:val="24"/>
        </w:rPr>
        <w:t>变更</w:t>
      </w:r>
      <w:r>
        <w:rPr>
          <w:rFonts w:eastAsia="仿宋_GB2312"/>
          <w:sz w:val="24"/>
          <w:szCs w:val="24"/>
        </w:rPr>
        <w:t>的</w:t>
      </w:r>
      <w:r>
        <w:rPr>
          <w:rFonts w:hint="eastAsia" w:eastAsia="仿宋_GB2312"/>
          <w:sz w:val="24"/>
          <w:szCs w:val="24"/>
        </w:rPr>
        <w:t>备案、报告等管理工作；</w:t>
      </w:r>
      <w:r>
        <w:rPr>
          <w:rFonts w:eastAsia="仿宋_GB2312"/>
          <w:sz w:val="24"/>
          <w:szCs w:val="24"/>
        </w:rPr>
        <w:t>依法组织实施对药品上市后变更的监督管理。</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hint="eastAsia" w:eastAsia="仿宋_GB2312"/>
          <w:sz w:val="24"/>
          <w:szCs w:val="24"/>
        </w:rPr>
        <w:t>省级药品监管部门</w:t>
      </w:r>
      <w:r>
        <w:rPr>
          <w:rFonts w:eastAsia="仿宋_GB2312"/>
          <w:sz w:val="24"/>
          <w:szCs w:val="24"/>
        </w:rPr>
        <w:t>依职责负责辖区内持有人药品上市后</w:t>
      </w:r>
      <w:r>
        <w:rPr>
          <w:rFonts w:hint="eastAsia" w:eastAsia="仿宋_GB2312"/>
          <w:sz w:val="24"/>
          <w:szCs w:val="24"/>
        </w:rPr>
        <w:t>生产监管事项</w:t>
      </w:r>
      <w:r>
        <w:rPr>
          <w:rFonts w:eastAsia="仿宋_GB2312"/>
          <w:sz w:val="24"/>
          <w:szCs w:val="24"/>
        </w:rPr>
        <w:t>变更的许可</w:t>
      </w:r>
      <w:r>
        <w:rPr>
          <w:rFonts w:hint="eastAsia" w:eastAsia="仿宋_GB2312"/>
          <w:sz w:val="24"/>
          <w:szCs w:val="24"/>
        </w:rPr>
        <w:t>、登记和注册管理事项变更的</w:t>
      </w:r>
      <w:r>
        <w:rPr>
          <w:rFonts w:eastAsia="仿宋_GB2312"/>
          <w:sz w:val="24"/>
          <w:szCs w:val="24"/>
        </w:rPr>
        <w:t>备案、报告等管理工作</w:t>
      </w:r>
      <w:r>
        <w:rPr>
          <w:rFonts w:hint="eastAsia" w:eastAsia="仿宋_GB2312"/>
          <w:sz w:val="24"/>
          <w:szCs w:val="24"/>
        </w:rPr>
        <w:t>；</w:t>
      </w:r>
      <w:r>
        <w:rPr>
          <w:rFonts w:eastAsia="仿宋_GB2312"/>
          <w:sz w:val="24"/>
          <w:szCs w:val="24"/>
        </w:rPr>
        <w:t>依法组织实施对药品上市后变更的监督管理。</w:t>
      </w: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4"/>
          <w:szCs w:val="24"/>
        </w:rPr>
      </w:pPr>
      <w:r>
        <w:rPr>
          <w:rFonts w:eastAsia="方正小标宋简体"/>
          <w:sz w:val="24"/>
          <w:szCs w:val="24"/>
        </w:rPr>
        <w:t>第二章  变更情形</w:t>
      </w:r>
    </w:p>
    <w:p>
      <w:pPr>
        <w:keepNext w:val="0"/>
        <w:keepLines w:val="0"/>
        <w:pageBreakBefore w:val="0"/>
        <w:kinsoku/>
        <w:wordWrap/>
        <w:overflowPunct/>
        <w:topLinePunct w:val="0"/>
        <w:autoSpaceDE/>
        <w:autoSpaceDN/>
        <w:bidi w:val="0"/>
        <w:adjustRightInd/>
        <w:spacing w:line="360" w:lineRule="auto"/>
        <w:jc w:val="center"/>
        <w:textAlignment w:val="auto"/>
        <w:rPr>
          <w:rFonts w:eastAsia="黑体"/>
          <w:sz w:val="24"/>
          <w:szCs w:val="24"/>
        </w:rPr>
      </w:pPr>
      <w:r>
        <w:rPr>
          <w:rFonts w:eastAsia="黑体"/>
          <w:sz w:val="24"/>
          <w:szCs w:val="24"/>
        </w:rPr>
        <w:t>第一节  持有人变更管理</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申请变更药品</w:t>
      </w:r>
      <w:r>
        <w:rPr>
          <w:rFonts w:eastAsia="仿宋_GB2312"/>
          <w:sz w:val="24"/>
          <w:szCs w:val="24"/>
        </w:rPr>
        <w:t>持有人</w:t>
      </w:r>
      <w:r>
        <w:rPr>
          <w:rFonts w:hint="eastAsia" w:eastAsia="仿宋_GB2312"/>
          <w:sz w:val="24"/>
          <w:szCs w:val="24"/>
        </w:rPr>
        <w:t>的</w:t>
      </w:r>
      <w:r>
        <w:rPr>
          <w:rFonts w:eastAsia="仿宋_GB2312"/>
          <w:sz w:val="24"/>
          <w:szCs w:val="24"/>
        </w:rPr>
        <w:t>，药品的生产场地、处方、生产工艺、质量标准等</w:t>
      </w:r>
      <w:r>
        <w:rPr>
          <w:rFonts w:hint="eastAsia" w:eastAsia="仿宋_GB2312"/>
          <w:sz w:val="24"/>
          <w:szCs w:val="24"/>
        </w:rPr>
        <w:t>应当</w:t>
      </w:r>
      <w:r>
        <w:rPr>
          <w:rFonts w:eastAsia="仿宋_GB2312"/>
          <w:sz w:val="24"/>
          <w:szCs w:val="24"/>
        </w:rPr>
        <w:t>与原药品一致</w:t>
      </w:r>
      <w:r>
        <w:rPr>
          <w:rFonts w:hint="eastAsia" w:eastAsia="仿宋_GB2312"/>
          <w:sz w:val="24"/>
          <w:szCs w:val="24"/>
        </w:rPr>
        <w:t>；</w:t>
      </w:r>
      <w:r>
        <w:rPr>
          <w:rFonts w:eastAsia="仿宋_GB2312"/>
          <w:sz w:val="24"/>
          <w:szCs w:val="24"/>
        </w:rPr>
        <w:t>发生变更的，</w:t>
      </w:r>
      <w:r>
        <w:rPr>
          <w:rFonts w:hint="eastAsia" w:eastAsia="仿宋_GB2312"/>
          <w:sz w:val="24"/>
          <w:szCs w:val="24"/>
        </w:rPr>
        <w:t>可在持有人变更获得批准后，由变更后的</w:t>
      </w:r>
      <w:r>
        <w:rPr>
          <w:rFonts w:eastAsia="仿宋_GB2312"/>
          <w:sz w:val="24"/>
          <w:szCs w:val="24"/>
        </w:rPr>
        <w:t>持有人进行充分研究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验证，并按规定经批准、备案后实施或报告。</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申请变更</w:t>
      </w:r>
      <w:r>
        <w:rPr>
          <w:rFonts w:hint="eastAsia" w:eastAsia="仿宋_GB2312"/>
          <w:sz w:val="24"/>
          <w:szCs w:val="24"/>
        </w:rPr>
        <w:t>境内生产药品的</w:t>
      </w:r>
      <w:r>
        <w:rPr>
          <w:rFonts w:eastAsia="仿宋_GB2312"/>
          <w:sz w:val="24"/>
          <w:szCs w:val="24"/>
        </w:rPr>
        <w:t>持有人，</w:t>
      </w:r>
      <w:r>
        <w:rPr>
          <w:rFonts w:eastAsia="仿宋_GB2312"/>
          <w:color w:val="000000"/>
          <w:sz w:val="24"/>
          <w:szCs w:val="24"/>
        </w:rPr>
        <w:t>受让方</w:t>
      </w:r>
      <w:r>
        <w:rPr>
          <w:rFonts w:hint="eastAsia" w:eastAsia="仿宋_GB2312"/>
          <w:color w:val="000000"/>
          <w:sz w:val="24"/>
          <w:szCs w:val="24"/>
        </w:rPr>
        <w:t>应当在</w:t>
      </w:r>
      <w:r>
        <w:rPr>
          <w:rFonts w:eastAsia="仿宋_GB2312"/>
          <w:color w:val="000000"/>
          <w:sz w:val="24"/>
          <w:szCs w:val="24"/>
        </w:rPr>
        <w:t>取得相应生产范围的药品生产许可证</w:t>
      </w:r>
      <w:r>
        <w:rPr>
          <w:rFonts w:hint="eastAsia" w:eastAsia="仿宋_GB2312"/>
          <w:color w:val="000000"/>
          <w:sz w:val="24"/>
          <w:szCs w:val="24"/>
        </w:rPr>
        <w:t>后</w:t>
      </w:r>
      <w:r>
        <w:rPr>
          <w:rFonts w:eastAsia="仿宋_GB2312"/>
          <w:color w:val="000000"/>
          <w:sz w:val="24"/>
          <w:szCs w:val="24"/>
        </w:rPr>
        <w:t>，向</w:t>
      </w:r>
      <w:r>
        <w:rPr>
          <w:rFonts w:eastAsia="仿宋_GB2312"/>
          <w:sz w:val="24"/>
          <w:szCs w:val="24"/>
        </w:rPr>
        <w:t>国家药品监督管理局药品审评中心（以下简称药审中心）提出补充申请。</w:t>
      </w:r>
      <w:r>
        <w:rPr>
          <w:rFonts w:hint="eastAsia" w:eastAsia="仿宋_GB2312"/>
          <w:sz w:val="24"/>
          <w:szCs w:val="24"/>
        </w:rPr>
        <w:t>其中，申请变更麻醉药品和精神药品的持有人，受让方还应当符合国家药品监督管理局确定的麻醉药品和精神药品定点生产企业的数量和布局要求。</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hint="eastAsia" w:eastAsia="仿宋_GB2312"/>
          <w:sz w:val="24"/>
          <w:szCs w:val="24"/>
        </w:rPr>
      </w:pPr>
      <w:r>
        <w:rPr>
          <w:rFonts w:eastAsia="仿宋_GB2312"/>
          <w:sz w:val="24"/>
          <w:szCs w:val="24"/>
        </w:rPr>
        <w:t>药审中心</w:t>
      </w:r>
      <w:r>
        <w:rPr>
          <w:rFonts w:hint="eastAsia" w:eastAsia="仿宋_GB2312"/>
          <w:sz w:val="24"/>
          <w:szCs w:val="24"/>
        </w:rPr>
        <w:t>应当</w:t>
      </w:r>
      <w:r>
        <w:rPr>
          <w:rFonts w:eastAsia="仿宋_GB2312"/>
          <w:sz w:val="24"/>
          <w:szCs w:val="24"/>
        </w:rPr>
        <w:t>在规定时限内作出是否同意变更的决定，</w:t>
      </w:r>
      <w:r>
        <w:rPr>
          <w:rFonts w:hint="eastAsia" w:eastAsia="仿宋_GB2312"/>
          <w:sz w:val="24"/>
          <w:szCs w:val="24"/>
        </w:rPr>
        <w:t>同意变更的，核发药品补充申请通知书</w:t>
      </w:r>
      <w:r>
        <w:rPr>
          <w:rFonts w:eastAsia="仿宋_GB2312"/>
          <w:sz w:val="24"/>
          <w:szCs w:val="24"/>
        </w:rPr>
        <w:t>，药品批准文号和证书有效期不变</w:t>
      </w:r>
      <w:r>
        <w:rPr>
          <w:rFonts w:hint="eastAsia" w:eastAsia="仿宋_GB2312"/>
          <w:sz w:val="24"/>
          <w:szCs w:val="24"/>
        </w:rPr>
        <w:t>，</w:t>
      </w:r>
      <w:r>
        <w:rPr>
          <w:rFonts w:eastAsia="仿宋_GB2312"/>
          <w:sz w:val="24"/>
          <w:szCs w:val="24"/>
        </w:rPr>
        <w:t>并抄送转让方</w:t>
      </w:r>
      <w:r>
        <w:rPr>
          <w:rFonts w:hint="eastAsia" w:eastAsia="仿宋_GB2312"/>
          <w:sz w:val="24"/>
          <w:szCs w:val="24"/>
        </w:rPr>
        <w:t>、</w:t>
      </w:r>
      <w:r>
        <w:rPr>
          <w:rFonts w:eastAsia="仿宋_GB2312"/>
          <w:sz w:val="24"/>
          <w:szCs w:val="24"/>
        </w:rPr>
        <w:t>受让方</w:t>
      </w:r>
      <w:r>
        <w:rPr>
          <w:rFonts w:hint="eastAsia" w:eastAsia="仿宋_GB2312"/>
          <w:sz w:val="24"/>
          <w:szCs w:val="24"/>
        </w:rPr>
        <w:t>和生产企业</w:t>
      </w:r>
      <w:r>
        <w:rPr>
          <w:rFonts w:eastAsia="仿宋_GB2312"/>
          <w:sz w:val="24"/>
          <w:szCs w:val="24"/>
        </w:rPr>
        <w:t>所在地省级药品监管部门。</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变更后的持有人</w:t>
      </w:r>
      <w:r>
        <w:rPr>
          <w:rFonts w:hint="eastAsia" w:eastAsia="仿宋_GB2312"/>
          <w:sz w:val="24"/>
          <w:szCs w:val="24"/>
        </w:rPr>
        <w:t>应当</w:t>
      </w:r>
      <w:r>
        <w:rPr>
          <w:rFonts w:eastAsia="仿宋_GB2312"/>
          <w:sz w:val="24"/>
          <w:szCs w:val="24"/>
        </w:rPr>
        <w:t>具备符合药品生产质量管理规范要求的生产质量管理体系，</w:t>
      </w:r>
      <w:r>
        <w:rPr>
          <w:rFonts w:hint="eastAsia" w:eastAsia="仿宋_GB2312"/>
          <w:sz w:val="24"/>
          <w:szCs w:val="24"/>
        </w:rPr>
        <w:t>承担药品全生命周期管理义务，完成该药品的持续研究工作，确保药品生产上市后符合现行技术要求，并在首次年度报告中重点说明转让的药品情况。</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hint="eastAsia" w:eastAsia="仿宋_GB2312"/>
          <w:sz w:val="24"/>
          <w:szCs w:val="24"/>
        </w:rPr>
        <w:t>转让的药品在</w:t>
      </w:r>
      <w:r>
        <w:rPr>
          <w:rFonts w:eastAsia="仿宋_GB2312"/>
          <w:sz w:val="24"/>
          <w:szCs w:val="24"/>
        </w:rPr>
        <w:t>通过</w:t>
      </w:r>
      <w:r>
        <w:rPr>
          <w:rFonts w:hint="eastAsia" w:eastAsia="仿宋_GB2312"/>
          <w:sz w:val="24"/>
          <w:szCs w:val="24"/>
        </w:rPr>
        <w:t>药品生产质量管理规范符合性</w:t>
      </w:r>
      <w:r>
        <w:rPr>
          <w:rFonts w:eastAsia="仿宋_GB2312"/>
          <w:sz w:val="24"/>
          <w:szCs w:val="24"/>
        </w:rPr>
        <w:t>检查后</w:t>
      </w:r>
      <w:r>
        <w:rPr>
          <w:rFonts w:hint="eastAsia" w:eastAsia="仿宋_GB2312"/>
          <w:sz w:val="24"/>
          <w:szCs w:val="24"/>
        </w:rPr>
        <w:t>，符合产品放行要求的，</w:t>
      </w:r>
      <w:r>
        <w:rPr>
          <w:rFonts w:eastAsia="仿宋_GB2312"/>
          <w:sz w:val="24"/>
          <w:szCs w:val="24"/>
        </w:rPr>
        <w:t>可</w:t>
      </w:r>
      <w:r>
        <w:rPr>
          <w:rFonts w:hint="eastAsia" w:eastAsia="仿宋_GB2312"/>
          <w:sz w:val="24"/>
          <w:szCs w:val="24"/>
        </w:rPr>
        <w:t>以</w:t>
      </w:r>
      <w:r>
        <w:rPr>
          <w:rFonts w:eastAsia="仿宋_GB2312"/>
          <w:sz w:val="24"/>
          <w:szCs w:val="24"/>
        </w:rPr>
        <w:t>上市销售。</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hint="eastAsia" w:eastAsia="仿宋_GB2312"/>
          <w:sz w:val="24"/>
          <w:szCs w:val="24"/>
        </w:rPr>
      </w:pPr>
      <w:r>
        <w:rPr>
          <w:rFonts w:eastAsia="仿宋_GB2312"/>
          <w:sz w:val="24"/>
          <w:szCs w:val="24"/>
        </w:rPr>
        <w:t>受让方所在地省级药品监管部门</w:t>
      </w:r>
      <w:r>
        <w:rPr>
          <w:rFonts w:hint="eastAsia" w:eastAsia="仿宋_GB2312"/>
          <w:sz w:val="24"/>
          <w:szCs w:val="24"/>
        </w:rPr>
        <w:t>应当重点加强对转让药品的监督检查，及时纳入日常监管计划。</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境外持有人</w:t>
      </w:r>
      <w:r>
        <w:rPr>
          <w:rFonts w:hint="eastAsia" w:eastAsia="仿宋_GB2312"/>
          <w:sz w:val="24"/>
          <w:szCs w:val="24"/>
        </w:rPr>
        <w:t>之间</w:t>
      </w:r>
      <w:r>
        <w:rPr>
          <w:rFonts w:eastAsia="仿宋_GB2312"/>
          <w:sz w:val="24"/>
          <w:szCs w:val="24"/>
        </w:rPr>
        <w:t>变更</w:t>
      </w:r>
      <w:r>
        <w:rPr>
          <w:rFonts w:hint="eastAsia" w:eastAsia="仿宋_GB2312"/>
          <w:sz w:val="24"/>
          <w:szCs w:val="24"/>
        </w:rPr>
        <w:t>的</w:t>
      </w:r>
      <w:r>
        <w:rPr>
          <w:rFonts w:eastAsia="仿宋_GB2312"/>
          <w:sz w:val="24"/>
          <w:szCs w:val="24"/>
        </w:rPr>
        <w:t>，由变更后持有人向药审中心提出补充申请。</w:t>
      </w:r>
    </w:p>
    <w:p>
      <w:pPr>
        <w:pStyle w:val="4"/>
        <w:keepNext w:val="0"/>
        <w:keepLines w:val="0"/>
        <w:pageBreakBefore w:val="0"/>
        <w:tabs>
          <w:tab w:val="left" w:pos="0"/>
        </w:tabs>
        <w:kinsoku/>
        <w:wordWrap/>
        <w:overflowPunct/>
        <w:topLinePunct w:val="0"/>
        <w:autoSpaceDE/>
        <w:autoSpaceDN/>
        <w:bidi w:val="0"/>
        <w:adjustRightInd/>
        <w:spacing w:line="360" w:lineRule="auto"/>
        <w:ind w:firstLine="0" w:firstLineChars="0"/>
        <w:textAlignment w:val="auto"/>
        <w:rPr>
          <w:rFonts w:eastAsia="仿宋_GB2312"/>
          <w:sz w:val="24"/>
          <w:szCs w:val="24"/>
        </w:rPr>
      </w:pPr>
      <w:r>
        <w:rPr>
          <w:rFonts w:hint="eastAsia" w:eastAsia="仿宋_GB2312"/>
          <w:sz w:val="24"/>
          <w:szCs w:val="24"/>
        </w:rPr>
        <w:t xml:space="preserve">    药</w:t>
      </w:r>
      <w:r>
        <w:rPr>
          <w:rFonts w:eastAsia="仿宋_GB2312"/>
          <w:sz w:val="24"/>
          <w:szCs w:val="24"/>
        </w:rPr>
        <w:t>审中心</w:t>
      </w:r>
      <w:r>
        <w:rPr>
          <w:rFonts w:hint="eastAsia" w:eastAsia="仿宋_GB2312"/>
          <w:sz w:val="24"/>
          <w:szCs w:val="24"/>
        </w:rPr>
        <w:t>应当</w:t>
      </w:r>
      <w:r>
        <w:rPr>
          <w:rFonts w:eastAsia="仿宋_GB2312"/>
          <w:sz w:val="24"/>
          <w:szCs w:val="24"/>
        </w:rPr>
        <w:t>在规定时限内作出是否同意变更的决定，</w:t>
      </w:r>
      <w:r>
        <w:rPr>
          <w:rFonts w:hint="eastAsia" w:eastAsia="仿宋_GB2312"/>
          <w:sz w:val="24"/>
          <w:szCs w:val="24"/>
        </w:rPr>
        <w:t>同意变更的，核发药品补充申请通知书</w:t>
      </w:r>
      <w:r>
        <w:rPr>
          <w:rFonts w:eastAsia="仿宋_GB2312"/>
          <w:sz w:val="24"/>
          <w:szCs w:val="24"/>
        </w:rPr>
        <w:t>，药品批准文号和证书有效期不变</w:t>
      </w:r>
      <w:r>
        <w:rPr>
          <w:rFonts w:hint="eastAsia" w:eastAsia="仿宋_GB2312"/>
          <w:sz w:val="24"/>
          <w:szCs w:val="24"/>
        </w:rPr>
        <w:t>。</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已在境内上市的境外生产药品转移至境内生产的，应当由境内申请人按照药品上市注册申请的要求和程序提出申请，相关药学、非临床研究和临床研究资料（适用时）可提交境外生产药品的原注册申报资料，符合要求的可申请成为参比制剂。具体申报资料要求由药审中心另行制定。 </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持有人名称、生产</w:t>
      </w:r>
      <w:r>
        <w:rPr>
          <w:rFonts w:hint="eastAsia" w:eastAsia="仿宋_GB2312"/>
          <w:sz w:val="24"/>
          <w:szCs w:val="24"/>
        </w:rPr>
        <w:t>企业</w:t>
      </w:r>
      <w:r>
        <w:rPr>
          <w:rFonts w:eastAsia="仿宋_GB2312"/>
          <w:sz w:val="24"/>
          <w:szCs w:val="24"/>
        </w:rPr>
        <w:t>名称、生产地址名称等变更，</w:t>
      </w:r>
      <w:r>
        <w:rPr>
          <w:rFonts w:hint="eastAsia" w:eastAsia="仿宋_GB2312"/>
          <w:sz w:val="24"/>
          <w:szCs w:val="24"/>
        </w:rPr>
        <w:t>应当</w:t>
      </w:r>
      <w:r>
        <w:rPr>
          <w:rFonts w:eastAsia="仿宋_GB2312"/>
          <w:sz w:val="24"/>
          <w:szCs w:val="24"/>
        </w:rPr>
        <w:t>完成药品生产许可证相应事项变更后，向所在地省级药品监管部门就药品批准证明文件</w:t>
      </w:r>
      <w:r>
        <w:rPr>
          <w:rFonts w:hint="eastAsia" w:eastAsia="仿宋_GB2312"/>
          <w:sz w:val="24"/>
          <w:szCs w:val="24"/>
        </w:rPr>
        <w:t>相应</w:t>
      </w:r>
      <w:r>
        <w:rPr>
          <w:rFonts w:eastAsia="仿宋_GB2312"/>
          <w:sz w:val="24"/>
          <w:szCs w:val="24"/>
        </w:rPr>
        <w:t>管理信息变更进行备案。</w:t>
      </w:r>
    </w:p>
    <w:p>
      <w:pPr>
        <w:pStyle w:val="4"/>
        <w:keepNext w:val="0"/>
        <w:keepLines w:val="0"/>
        <w:pageBreakBefore w:val="0"/>
        <w:tabs>
          <w:tab w:val="left" w:pos="0"/>
        </w:tabs>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境外生产药品</w:t>
      </w:r>
      <w:r>
        <w:rPr>
          <w:rFonts w:hint="eastAsia" w:eastAsia="仿宋_GB2312"/>
          <w:sz w:val="24"/>
          <w:szCs w:val="24"/>
        </w:rPr>
        <w:t>上述</w:t>
      </w:r>
      <w:r>
        <w:rPr>
          <w:rFonts w:eastAsia="仿宋_GB2312"/>
          <w:sz w:val="24"/>
          <w:szCs w:val="24"/>
        </w:rPr>
        <w:t>信息的变更向药审中心提出备案。</w:t>
      </w:r>
    </w:p>
    <w:p>
      <w:pPr>
        <w:pStyle w:val="4"/>
        <w:keepNext w:val="0"/>
        <w:keepLines w:val="0"/>
        <w:pageBreakBefore w:val="0"/>
        <w:tabs>
          <w:tab w:val="left" w:pos="0"/>
        </w:tabs>
        <w:kinsoku/>
        <w:wordWrap/>
        <w:overflowPunct/>
        <w:topLinePunct w:val="0"/>
        <w:autoSpaceDE/>
        <w:autoSpaceDN/>
        <w:bidi w:val="0"/>
        <w:adjustRightInd/>
        <w:spacing w:line="360" w:lineRule="auto"/>
        <w:ind w:left="420" w:leftChars="200" w:firstLine="0" w:firstLineChars="0"/>
        <w:textAlignment w:val="auto"/>
        <w:rPr>
          <w:rFonts w:eastAsia="仿宋_GB2312"/>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rPr>
          <w:rFonts w:eastAsia="黑体"/>
          <w:sz w:val="24"/>
          <w:szCs w:val="24"/>
        </w:rPr>
      </w:pPr>
      <w:r>
        <w:rPr>
          <w:rFonts w:eastAsia="黑体"/>
          <w:sz w:val="24"/>
          <w:szCs w:val="24"/>
        </w:rPr>
        <w:t>第二节  药品生产场地变更管理</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药品生产场地包括持有人自有的生产场地或其委托生产企业相应的生产场地。</w:t>
      </w:r>
      <w:r>
        <w:rPr>
          <w:rFonts w:eastAsia="仿宋_GB2312"/>
          <w:sz w:val="24"/>
          <w:szCs w:val="24"/>
        </w:rPr>
        <w:t>药品生产场地变更</w:t>
      </w:r>
      <w:r>
        <w:rPr>
          <w:rFonts w:hint="eastAsia" w:eastAsia="仿宋_GB2312"/>
          <w:sz w:val="24"/>
          <w:szCs w:val="24"/>
        </w:rPr>
        <w:t>是指生产地址的改变或新增，或同一生产地址内的生产场地的新建、改建、扩建。生产场地信息应当在持有人《药品生产许可证》、药品批准证明文件中载明。</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变更</w:t>
      </w:r>
      <w:r>
        <w:rPr>
          <w:rFonts w:eastAsia="仿宋_GB2312"/>
          <w:sz w:val="24"/>
          <w:szCs w:val="24"/>
        </w:rPr>
        <w:t>药品生产场地</w:t>
      </w:r>
      <w:r>
        <w:rPr>
          <w:rFonts w:hint="eastAsia" w:eastAsia="仿宋_GB2312"/>
          <w:sz w:val="24"/>
          <w:szCs w:val="24"/>
        </w:rPr>
        <w:t>的</w:t>
      </w:r>
      <w:r>
        <w:rPr>
          <w:rFonts w:eastAsia="仿宋_GB2312"/>
          <w:sz w:val="24"/>
          <w:szCs w:val="24"/>
        </w:rPr>
        <w:t>，药品的处方、生产工艺、质量标准等</w:t>
      </w:r>
      <w:r>
        <w:rPr>
          <w:rFonts w:hint="eastAsia" w:eastAsia="仿宋_GB2312"/>
          <w:sz w:val="24"/>
          <w:szCs w:val="24"/>
        </w:rPr>
        <w:t>应当与原药品一致，</w:t>
      </w:r>
      <w:r>
        <w:rPr>
          <w:rFonts w:eastAsia="仿宋_GB2312"/>
          <w:sz w:val="24"/>
          <w:szCs w:val="24"/>
        </w:rPr>
        <w:t>持有人</w:t>
      </w:r>
      <w:r>
        <w:rPr>
          <w:rFonts w:hint="eastAsia" w:eastAsia="仿宋_GB2312"/>
          <w:sz w:val="24"/>
          <w:szCs w:val="24"/>
        </w:rPr>
        <w:t>应当</w:t>
      </w:r>
      <w:r>
        <w:rPr>
          <w:rFonts w:eastAsia="仿宋_GB2312"/>
          <w:sz w:val="24"/>
          <w:szCs w:val="24"/>
        </w:rPr>
        <w:t>确保能够持续稳定生产出与原药品质量</w:t>
      </w:r>
      <w:r>
        <w:rPr>
          <w:rFonts w:hint="eastAsia" w:eastAsia="仿宋_GB2312"/>
          <w:sz w:val="24"/>
          <w:szCs w:val="24"/>
        </w:rPr>
        <w:t>和疗效</w:t>
      </w:r>
      <w:r>
        <w:rPr>
          <w:rFonts w:eastAsia="仿宋_GB2312"/>
          <w:sz w:val="24"/>
          <w:szCs w:val="24"/>
        </w:rPr>
        <w:t>一致的产品。</w:t>
      </w:r>
    </w:p>
    <w:p>
      <w:pPr>
        <w:pStyle w:val="4"/>
        <w:keepNext w:val="0"/>
        <w:keepLines w:val="0"/>
        <w:pageBreakBefore w:val="0"/>
        <w:tabs>
          <w:tab w:val="left" w:pos="0"/>
        </w:tabs>
        <w:kinsoku/>
        <w:wordWrap/>
        <w:overflowPunct/>
        <w:topLinePunct w:val="0"/>
        <w:autoSpaceDE/>
        <w:autoSpaceDN/>
        <w:bidi w:val="0"/>
        <w:adjustRightInd/>
        <w:spacing w:line="360" w:lineRule="auto"/>
        <w:ind w:firstLine="640"/>
        <w:textAlignment w:val="auto"/>
        <w:rPr>
          <w:rFonts w:hint="eastAsia" w:eastAsia="仿宋_GB2312"/>
          <w:sz w:val="24"/>
          <w:szCs w:val="24"/>
        </w:rPr>
      </w:pPr>
      <w:r>
        <w:rPr>
          <w:rFonts w:eastAsia="仿宋_GB2312"/>
          <w:sz w:val="24"/>
          <w:szCs w:val="24"/>
        </w:rPr>
        <w:t>药品的处方、生产工艺、质量标准等发生变更的，持有人</w:t>
      </w:r>
      <w:r>
        <w:rPr>
          <w:rFonts w:hint="eastAsia" w:eastAsia="仿宋_GB2312"/>
          <w:sz w:val="24"/>
          <w:szCs w:val="24"/>
        </w:rPr>
        <w:t>应当</w:t>
      </w:r>
      <w:r>
        <w:rPr>
          <w:rFonts w:eastAsia="仿宋_GB2312"/>
          <w:sz w:val="24"/>
          <w:szCs w:val="24"/>
        </w:rPr>
        <w:t>进行充分研究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验证，并按规定经批准、备案后实施或报告</w:t>
      </w:r>
      <w:r>
        <w:rPr>
          <w:rFonts w:hint="eastAsia" w:eastAsia="仿宋_GB2312"/>
          <w:sz w:val="24"/>
          <w:szCs w:val="24"/>
        </w:rPr>
        <w:t>。</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境内持有人或药品生产企业内部</w:t>
      </w:r>
      <w:r>
        <w:rPr>
          <w:rFonts w:eastAsia="仿宋_GB2312"/>
          <w:sz w:val="24"/>
          <w:szCs w:val="24"/>
        </w:rPr>
        <w:t>变更生产场地</w:t>
      </w:r>
      <w:r>
        <w:rPr>
          <w:rFonts w:hint="eastAsia" w:eastAsia="仿宋_GB2312"/>
          <w:sz w:val="24"/>
          <w:szCs w:val="24"/>
        </w:rPr>
        <w:t>、境内持有人变更</w:t>
      </w:r>
      <w:r>
        <w:rPr>
          <w:rFonts w:eastAsia="仿宋_GB2312"/>
          <w:sz w:val="24"/>
          <w:szCs w:val="24"/>
        </w:rPr>
        <w:t>生产企业（包括变更受托生产企业、增加受托生产企业、持有人自行生产变更为委托生产、委托生产变更为自行生产）的，持有人</w:t>
      </w:r>
      <w:r>
        <w:rPr>
          <w:rFonts w:hint="eastAsia" w:eastAsia="仿宋_GB2312"/>
          <w:sz w:val="24"/>
          <w:szCs w:val="24"/>
        </w:rPr>
        <w:t>（药品生产企业）应当按照</w:t>
      </w:r>
      <w:r>
        <w:rPr>
          <w:rFonts w:eastAsia="仿宋_GB2312"/>
          <w:sz w:val="24"/>
          <w:szCs w:val="24"/>
        </w:rPr>
        <w:t>《药品生产监督管理办法》</w:t>
      </w:r>
      <w:r>
        <w:rPr>
          <w:rFonts w:hint="eastAsia" w:eastAsia="仿宋_GB2312"/>
          <w:sz w:val="24"/>
          <w:szCs w:val="24"/>
        </w:rPr>
        <w:t>及相关变更技术指导原则要求进行研究、评估和必要的验证，</w:t>
      </w:r>
      <w:r>
        <w:rPr>
          <w:rFonts w:eastAsia="仿宋_GB2312"/>
          <w:sz w:val="24"/>
          <w:szCs w:val="24"/>
        </w:rPr>
        <w:t>向所在地省级药品监管部门提出</w:t>
      </w:r>
      <w:r>
        <w:rPr>
          <w:rFonts w:hint="eastAsia" w:eastAsia="仿宋_GB2312"/>
          <w:sz w:val="24"/>
          <w:szCs w:val="24"/>
        </w:rPr>
        <w:t>变更</w:t>
      </w:r>
      <w:r>
        <w:rPr>
          <w:rFonts w:eastAsia="仿宋_GB2312"/>
          <w:sz w:val="24"/>
          <w:szCs w:val="24"/>
        </w:rPr>
        <w:t>《药品生产许可证》申请</w:t>
      </w:r>
      <w:r>
        <w:rPr>
          <w:rFonts w:hint="eastAsia" w:eastAsia="仿宋_GB2312"/>
          <w:sz w:val="24"/>
          <w:szCs w:val="24"/>
        </w:rPr>
        <w:t>并提交相关资料</w:t>
      </w:r>
      <w:r>
        <w:rPr>
          <w:rFonts w:eastAsia="仿宋_GB2312"/>
          <w:sz w:val="24"/>
          <w:szCs w:val="24"/>
        </w:rPr>
        <w:t>。</w:t>
      </w:r>
    </w:p>
    <w:p>
      <w:pPr>
        <w:pStyle w:val="4"/>
        <w:keepNext w:val="0"/>
        <w:keepLines w:val="0"/>
        <w:pageBreakBefore w:val="0"/>
        <w:tabs>
          <w:tab w:val="left" w:pos="0"/>
        </w:tabs>
        <w:kinsoku/>
        <w:wordWrap/>
        <w:overflowPunct/>
        <w:topLinePunct w:val="0"/>
        <w:autoSpaceDE/>
        <w:autoSpaceDN/>
        <w:bidi w:val="0"/>
        <w:adjustRightInd/>
        <w:spacing w:line="360" w:lineRule="auto"/>
        <w:ind w:firstLine="0" w:firstLineChars="0"/>
        <w:textAlignment w:val="auto"/>
        <w:rPr>
          <w:rFonts w:eastAsia="仿宋_GB2312"/>
          <w:sz w:val="24"/>
          <w:szCs w:val="24"/>
        </w:rPr>
      </w:pPr>
      <w:r>
        <w:rPr>
          <w:rFonts w:hint="eastAsia" w:eastAsia="仿宋_GB2312"/>
          <w:sz w:val="24"/>
          <w:szCs w:val="24"/>
        </w:rPr>
        <w:t xml:space="preserve">    </w:t>
      </w:r>
      <w:r>
        <w:rPr>
          <w:rFonts w:eastAsia="仿宋_GB2312"/>
          <w:sz w:val="24"/>
          <w:szCs w:val="24"/>
        </w:rPr>
        <w:t>省级药品监管部门按照《药品生产监督管理办法》</w:t>
      </w:r>
      <w:r>
        <w:rPr>
          <w:rFonts w:hint="eastAsia" w:eastAsia="仿宋_GB2312"/>
          <w:sz w:val="24"/>
          <w:szCs w:val="24"/>
        </w:rPr>
        <w:t>《药品注册管理办法》及相关变更技术指导原则要求开展现场检查和技术审评，符合要求的，对其《药品生产许可证》相关信息予以变更。完成《药品生产许可证》变更后，省级药品监管部门凭变更后的《药品生产许可证》在药品注册备案变更系统中对持有人</w:t>
      </w:r>
      <w:r>
        <w:rPr>
          <w:rFonts w:eastAsia="仿宋_GB2312"/>
          <w:sz w:val="24"/>
          <w:szCs w:val="24"/>
        </w:rPr>
        <w:t>药品</w:t>
      </w:r>
      <w:r>
        <w:rPr>
          <w:rFonts w:hint="eastAsia" w:eastAsia="仿宋_GB2312"/>
          <w:sz w:val="24"/>
          <w:szCs w:val="24"/>
        </w:rPr>
        <w:t>注册</w:t>
      </w:r>
      <w:r>
        <w:rPr>
          <w:rFonts w:eastAsia="仿宋_GB2312"/>
          <w:sz w:val="24"/>
          <w:szCs w:val="24"/>
        </w:rPr>
        <w:t>批准证明文件</w:t>
      </w:r>
      <w:r>
        <w:rPr>
          <w:rFonts w:hint="eastAsia" w:eastAsia="仿宋_GB2312"/>
          <w:sz w:val="24"/>
          <w:szCs w:val="24"/>
        </w:rPr>
        <w:t>及其附件载明的生产场地或生产企业的变更信息进行更新，生物制品变更中涉及需要向药审中心提出补充申请事项的，持有人按照本办法提出补充申请。</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境外持有人变更药品生产场地且变更后生产场地仍在境外的，应按照相关技术指导原则进行研究、评估和必要的验证，向药审中心提出补充申请或备案。</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生物制品变更药品生产场地的，持有人应当在《药品生产许可证》变更获得批准后，按照相关规范性文件和变更技术指导原则要求进行研究验证，属于重大变更的，报药审中心批准后实施。</w:t>
      </w:r>
    </w:p>
    <w:p>
      <w:pPr>
        <w:pStyle w:val="4"/>
        <w:keepNext w:val="0"/>
        <w:keepLines w:val="0"/>
        <w:pageBreakBefore w:val="0"/>
        <w:tabs>
          <w:tab w:val="left" w:pos="0"/>
        </w:tabs>
        <w:kinsoku/>
        <w:wordWrap/>
        <w:overflowPunct/>
        <w:topLinePunct w:val="0"/>
        <w:autoSpaceDE/>
        <w:autoSpaceDN/>
        <w:bidi w:val="0"/>
        <w:adjustRightInd/>
        <w:spacing w:line="360" w:lineRule="auto"/>
        <w:ind w:firstLine="0" w:firstLineChars="0"/>
        <w:textAlignment w:val="auto"/>
        <w:rPr>
          <w:rFonts w:eastAsia="仿宋_GB2312"/>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rPr>
          <w:rFonts w:eastAsia="黑体"/>
          <w:sz w:val="24"/>
          <w:szCs w:val="24"/>
        </w:rPr>
      </w:pPr>
      <w:r>
        <w:rPr>
          <w:rFonts w:eastAsia="黑体"/>
          <w:sz w:val="24"/>
          <w:szCs w:val="24"/>
        </w:rPr>
        <w:t>第三节  其他药品注册管理事项变更</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生产设备、原辅料及包材来源和种类、生产环节技术参数</w:t>
      </w:r>
      <w:r>
        <w:rPr>
          <w:rFonts w:hint="eastAsia" w:eastAsia="仿宋_GB2312"/>
          <w:sz w:val="24"/>
          <w:szCs w:val="24"/>
        </w:rPr>
        <w:t>、质量标准</w:t>
      </w:r>
      <w:r>
        <w:rPr>
          <w:rFonts w:eastAsia="仿宋_GB2312"/>
          <w:sz w:val="24"/>
          <w:szCs w:val="24"/>
        </w:rPr>
        <w:t>等生产</w:t>
      </w:r>
      <w:r>
        <w:rPr>
          <w:rFonts w:hint="eastAsia" w:eastAsia="仿宋_GB2312"/>
          <w:sz w:val="24"/>
          <w:szCs w:val="24"/>
        </w:rPr>
        <w:t>过程</w:t>
      </w:r>
      <w:r>
        <w:rPr>
          <w:rFonts w:eastAsia="仿宋_GB2312"/>
          <w:sz w:val="24"/>
          <w:szCs w:val="24"/>
        </w:rPr>
        <w:t>变更的，持有人</w:t>
      </w:r>
      <w:r>
        <w:rPr>
          <w:rFonts w:hint="eastAsia" w:eastAsia="仿宋_GB2312"/>
          <w:sz w:val="24"/>
          <w:szCs w:val="24"/>
        </w:rPr>
        <w:t>应当</w:t>
      </w:r>
      <w:r>
        <w:rPr>
          <w:rFonts w:eastAsia="仿宋_GB2312"/>
          <w:sz w:val="24"/>
          <w:szCs w:val="24"/>
        </w:rPr>
        <w:t>充分评估该变更可能对药品安全性、有效性和质量可控性影响的风险</w:t>
      </w:r>
      <w:r>
        <w:rPr>
          <w:rFonts w:hint="eastAsia" w:eastAsia="仿宋_GB2312"/>
          <w:sz w:val="24"/>
          <w:szCs w:val="24"/>
        </w:rPr>
        <w:t>程度</w:t>
      </w:r>
      <w:r>
        <w:rPr>
          <w:rFonts w:eastAsia="仿宋_GB2312"/>
          <w:sz w:val="24"/>
          <w:szCs w:val="24"/>
        </w:rPr>
        <w:t>，确定变更管理类别，按照有关技术指导原则和药品生产质量管理规范进行充分研究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验证，经批准、备案后实施</w:t>
      </w:r>
      <w:r>
        <w:rPr>
          <w:rFonts w:hint="eastAsia" w:eastAsia="仿宋_GB2312"/>
          <w:sz w:val="24"/>
          <w:szCs w:val="24"/>
        </w:rPr>
        <w:t>或</w:t>
      </w:r>
      <w:r>
        <w:rPr>
          <w:rFonts w:eastAsia="仿宋_GB2312"/>
          <w:sz w:val="24"/>
          <w:szCs w:val="24"/>
        </w:rPr>
        <w:t>报告。</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hint="eastAsia" w:eastAsia="仿宋_GB2312"/>
          <w:sz w:val="24"/>
          <w:szCs w:val="24"/>
        </w:rPr>
      </w:pPr>
      <w:r>
        <w:rPr>
          <w:rFonts w:hint="eastAsia" w:eastAsia="仿宋_GB2312"/>
          <w:sz w:val="24"/>
          <w:szCs w:val="24"/>
        </w:rPr>
        <w:t xml:space="preserve">  </w:t>
      </w:r>
      <w:r>
        <w:rPr>
          <w:rFonts w:eastAsia="仿宋_GB2312"/>
          <w:sz w:val="24"/>
          <w:szCs w:val="24"/>
        </w:rPr>
        <w:t>药品说明书和标签的变更管理按照相关规定和技术要求进行。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已经通过</w:t>
      </w:r>
      <w:r>
        <w:rPr>
          <w:rFonts w:eastAsia="仿宋_GB2312"/>
          <w:sz w:val="24"/>
          <w:szCs w:val="24"/>
        </w:rPr>
        <w:t>审评审批的原料药发生变更的，原料药登记人</w:t>
      </w:r>
      <w:r>
        <w:rPr>
          <w:rFonts w:hint="eastAsia" w:eastAsia="仿宋_GB2312"/>
          <w:sz w:val="24"/>
          <w:szCs w:val="24"/>
        </w:rPr>
        <w:t>应当</w:t>
      </w:r>
      <w:r>
        <w:rPr>
          <w:rFonts w:eastAsia="仿宋_GB2312"/>
          <w:sz w:val="24"/>
          <w:szCs w:val="24"/>
        </w:rPr>
        <w:t>按照现行药品注册管理有关规定</w:t>
      </w:r>
      <w:r>
        <w:rPr>
          <w:rFonts w:hint="eastAsia" w:eastAsia="仿宋_GB2312"/>
          <w:sz w:val="24"/>
          <w:szCs w:val="24"/>
        </w:rPr>
        <w:t>、药品生产质量管理规范</w:t>
      </w:r>
      <w:r>
        <w:rPr>
          <w:rFonts w:eastAsia="仿宋_GB2312"/>
          <w:sz w:val="24"/>
          <w:szCs w:val="24"/>
        </w:rPr>
        <w:t>、技术指导原则及本</w:t>
      </w:r>
      <w:r>
        <w:rPr>
          <w:rFonts w:hint="eastAsia" w:eastAsia="仿宋_GB2312"/>
          <w:sz w:val="24"/>
          <w:szCs w:val="24"/>
        </w:rPr>
        <w:t>办法</w:t>
      </w:r>
      <w:r>
        <w:rPr>
          <w:rFonts w:eastAsia="仿宋_GB2312"/>
          <w:sz w:val="24"/>
          <w:szCs w:val="24"/>
        </w:rPr>
        <w:t>确定</w:t>
      </w:r>
      <w:r>
        <w:rPr>
          <w:rFonts w:hint="eastAsia" w:eastAsia="仿宋_GB2312"/>
          <w:sz w:val="24"/>
          <w:szCs w:val="24"/>
        </w:rPr>
        <w:t>变更管理类别，</w:t>
      </w:r>
      <w:r>
        <w:rPr>
          <w:rFonts w:eastAsia="仿宋_GB2312"/>
          <w:sz w:val="24"/>
          <w:szCs w:val="24"/>
        </w:rPr>
        <w:t>经批准、备案</w:t>
      </w:r>
      <w:r>
        <w:rPr>
          <w:rFonts w:eastAsia="仿宋_GB2312"/>
          <w:spacing w:val="-6"/>
          <w:sz w:val="24"/>
          <w:szCs w:val="24"/>
        </w:rPr>
        <w:t>后实施</w:t>
      </w:r>
      <w:r>
        <w:rPr>
          <w:rFonts w:hint="eastAsia" w:eastAsia="仿宋_GB2312"/>
          <w:spacing w:val="-6"/>
          <w:sz w:val="24"/>
          <w:szCs w:val="24"/>
        </w:rPr>
        <w:t>或</w:t>
      </w:r>
      <w:r>
        <w:rPr>
          <w:rFonts w:eastAsia="仿宋_GB2312"/>
          <w:spacing w:val="-6"/>
          <w:sz w:val="24"/>
          <w:szCs w:val="24"/>
        </w:rPr>
        <w:t>报告</w:t>
      </w:r>
      <w:r>
        <w:rPr>
          <w:rFonts w:hint="eastAsia" w:eastAsia="仿宋_GB2312"/>
          <w:spacing w:val="-6"/>
          <w:sz w:val="24"/>
          <w:szCs w:val="24"/>
        </w:rPr>
        <w:t>。原料药登记人应当</w:t>
      </w:r>
      <w:r>
        <w:rPr>
          <w:rFonts w:eastAsia="仿宋_GB2312"/>
          <w:spacing w:val="-6"/>
          <w:sz w:val="24"/>
          <w:szCs w:val="24"/>
        </w:rPr>
        <w:t>及时在登记平台更新</w:t>
      </w:r>
      <w:r>
        <w:rPr>
          <w:rFonts w:hint="eastAsia" w:eastAsia="仿宋_GB2312"/>
          <w:spacing w:val="-6"/>
          <w:sz w:val="24"/>
          <w:szCs w:val="24"/>
        </w:rPr>
        <w:t>变更信息</w:t>
      </w:r>
      <w:r>
        <w:rPr>
          <w:rFonts w:eastAsia="仿宋_GB2312"/>
          <w:spacing w:val="-6"/>
          <w:sz w:val="24"/>
          <w:szCs w:val="24"/>
        </w:rPr>
        <w:t>。</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变更实施</w:t>
      </w:r>
      <w:r>
        <w:rPr>
          <w:rFonts w:hint="eastAsia" w:eastAsia="仿宋_GB2312"/>
          <w:sz w:val="24"/>
          <w:szCs w:val="24"/>
        </w:rPr>
        <w:t>前</w:t>
      </w:r>
      <w:r>
        <w:rPr>
          <w:rFonts w:eastAsia="仿宋_GB2312"/>
          <w:sz w:val="24"/>
          <w:szCs w:val="24"/>
        </w:rPr>
        <w:t>，原料药登记人</w:t>
      </w:r>
      <w:r>
        <w:rPr>
          <w:rFonts w:hint="eastAsia" w:eastAsia="仿宋_GB2312"/>
          <w:sz w:val="24"/>
          <w:szCs w:val="24"/>
        </w:rPr>
        <w:t>应当</w:t>
      </w:r>
      <w:r>
        <w:rPr>
          <w:rFonts w:eastAsia="仿宋_GB2312"/>
          <w:sz w:val="24"/>
          <w:szCs w:val="24"/>
        </w:rPr>
        <w:t>将</w:t>
      </w:r>
      <w:r>
        <w:rPr>
          <w:rFonts w:hint="eastAsia" w:eastAsia="仿宋_GB2312"/>
          <w:sz w:val="24"/>
          <w:szCs w:val="24"/>
        </w:rPr>
        <w:t>有关</w:t>
      </w:r>
      <w:r>
        <w:rPr>
          <w:rFonts w:eastAsia="仿宋_GB2312"/>
          <w:sz w:val="24"/>
          <w:szCs w:val="24"/>
        </w:rPr>
        <w:t>情况及时通知相关</w:t>
      </w:r>
      <w:r>
        <w:rPr>
          <w:rFonts w:hint="eastAsia" w:eastAsia="仿宋_GB2312"/>
          <w:sz w:val="24"/>
          <w:szCs w:val="24"/>
        </w:rPr>
        <w:t>制剂</w:t>
      </w:r>
      <w:r>
        <w:rPr>
          <w:rFonts w:eastAsia="仿宋_GB2312"/>
          <w:sz w:val="24"/>
          <w:szCs w:val="24"/>
        </w:rPr>
        <w:t>持有人。</w:t>
      </w:r>
      <w:r>
        <w:rPr>
          <w:rFonts w:hint="eastAsia" w:eastAsia="仿宋_GB2312"/>
          <w:sz w:val="24"/>
          <w:szCs w:val="24"/>
        </w:rPr>
        <w:t>制剂</w:t>
      </w:r>
      <w:r>
        <w:rPr>
          <w:rFonts w:eastAsia="仿宋_GB2312"/>
          <w:sz w:val="24"/>
          <w:szCs w:val="24"/>
        </w:rPr>
        <w:t>持有人接到上述通知后</w:t>
      </w:r>
      <w:r>
        <w:rPr>
          <w:rFonts w:hint="eastAsia" w:eastAsia="仿宋_GB2312"/>
          <w:sz w:val="24"/>
          <w:szCs w:val="24"/>
        </w:rPr>
        <w:t>应当</w:t>
      </w:r>
      <w:r>
        <w:rPr>
          <w:rFonts w:eastAsia="仿宋_GB2312"/>
          <w:sz w:val="24"/>
          <w:szCs w:val="24"/>
        </w:rPr>
        <w:t>及时就相应变更对影响药品制剂质量的风险情况进行评估或研究，根据有关规定提出补充申请、备案或报告。</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eastAsia="仿宋_GB2312"/>
          <w:sz w:val="24"/>
          <w:szCs w:val="24"/>
        </w:rPr>
      </w:pPr>
      <w:r>
        <w:rPr>
          <w:rFonts w:eastAsia="仿宋_GB2312"/>
          <w:sz w:val="24"/>
          <w:szCs w:val="24"/>
        </w:rPr>
        <w:t>未通过审评审批，且尚未进入审评程序的原料药发生变更的，原料药登记人可以通过药审中心网站登记平台随时更新相关资料。</w:t>
      </w: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4"/>
          <w:szCs w:val="24"/>
        </w:rPr>
      </w:pPr>
      <w:r>
        <w:rPr>
          <w:rFonts w:eastAsia="方正小标宋简体"/>
          <w:sz w:val="24"/>
          <w:szCs w:val="24"/>
        </w:rPr>
        <w:t>第三章  变更管理类别确认及调整</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变更</w:t>
      </w:r>
      <w:r>
        <w:rPr>
          <w:rFonts w:hint="eastAsia" w:eastAsia="仿宋_GB2312"/>
          <w:sz w:val="24"/>
          <w:szCs w:val="24"/>
        </w:rPr>
        <w:t>情形</w:t>
      </w:r>
      <w:r>
        <w:rPr>
          <w:rFonts w:eastAsia="仿宋_GB2312"/>
          <w:sz w:val="24"/>
          <w:szCs w:val="24"/>
        </w:rPr>
        <w:t>在法律、法规或技术指导原则中已</w:t>
      </w:r>
      <w:r>
        <w:rPr>
          <w:rFonts w:hint="eastAsia" w:eastAsia="仿宋_GB2312"/>
          <w:sz w:val="24"/>
          <w:szCs w:val="24"/>
        </w:rPr>
        <w:t>明确变更管理类别</w:t>
      </w:r>
      <w:r>
        <w:rPr>
          <w:rFonts w:eastAsia="仿宋_GB2312"/>
          <w:sz w:val="24"/>
          <w:szCs w:val="24"/>
        </w:rPr>
        <w:t>的，持有人一般</w:t>
      </w:r>
      <w:r>
        <w:rPr>
          <w:rFonts w:hint="eastAsia" w:eastAsia="仿宋_GB2312"/>
          <w:sz w:val="24"/>
          <w:szCs w:val="24"/>
        </w:rPr>
        <w:t>应当</w:t>
      </w:r>
      <w:r>
        <w:rPr>
          <w:rFonts w:eastAsia="仿宋_GB2312"/>
          <w:sz w:val="24"/>
          <w:szCs w:val="24"/>
        </w:rPr>
        <w:t>根据有关规定确定变更</w:t>
      </w:r>
      <w:r>
        <w:rPr>
          <w:rFonts w:hint="eastAsia" w:eastAsia="仿宋_GB2312"/>
          <w:sz w:val="24"/>
          <w:szCs w:val="24"/>
        </w:rPr>
        <w:t>管理</w:t>
      </w:r>
      <w:r>
        <w:rPr>
          <w:rFonts w:eastAsia="仿宋_GB2312"/>
          <w:sz w:val="24"/>
          <w:szCs w:val="24"/>
        </w:rPr>
        <w:t>类别。</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变更情形在法律、法规或技术指导原则中未明确变更管理类别的，持有人</w:t>
      </w:r>
      <w:r>
        <w:rPr>
          <w:rFonts w:hint="eastAsia" w:eastAsia="仿宋_GB2312"/>
          <w:sz w:val="24"/>
          <w:szCs w:val="24"/>
        </w:rPr>
        <w:t>应当</w:t>
      </w:r>
      <w:r>
        <w:rPr>
          <w:rFonts w:eastAsia="仿宋_GB2312"/>
          <w:sz w:val="24"/>
          <w:szCs w:val="24"/>
        </w:rPr>
        <w:t>根据内部变更分类原则、工作程序和风险管理标准，结合产品特点，参考有关技术指导原则</w:t>
      </w:r>
      <w:r>
        <w:rPr>
          <w:rFonts w:hint="eastAsia" w:eastAsia="仿宋_GB2312"/>
          <w:sz w:val="24"/>
          <w:szCs w:val="24"/>
        </w:rPr>
        <w:t>，在充分研究、评估和必要验证的基础上</w:t>
      </w:r>
      <w:r>
        <w:rPr>
          <w:rFonts w:eastAsia="仿宋_GB2312"/>
          <w:sz w:val="24"/>
          <w:szCs w:val="24"/>
        </w:rPr>
        <w:t>确定变更</w:t>
      </w:r>
      <w:r>
        <w:rPr>
          <w:rFonts w:hint="eastAsia" w:eastAsia="仿宋_GB2312"/>
          <w:sz w:val="24"/>
          <w:szCs w:val="24"/>
        </w:rPr>
        <w:t>管理</w:t>
      </w:r>
      <w:r>
        <w:rPr>
          <w:rFonts w:eastAsia="仿宋_GB2312"/>
          <w:sz w:val="24"/>
          <w:szCs w:val="24"/>
        </w:rPr>
        <w:t>类别。</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境内</w:t>
      </w:r>
      <w:r>
        <w:rPr>
          <w:rFonts w:eastAsia="仿宋_GB2312"/>
          <w:sz w:val="24"/>
          <w:szCs w:val="24"/>
        </w:rPr>
        <w:t>持有人在充分研究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验证基础上无法确定变更管理类别的，</w:t>
      </w:r>
      <w:r>
        <w:rPr>
          <w:rFonts w:hint="eastAsia" w:eastAsia="仿宋_GB2312"/>
          <w:sz w:val="24"/>
          <w:szCs w:val="24"/>
        </w:rPr>
        <w:t>可以</w:t>
      </w:r>
      <w:r>
        <w:rPr>
          <w:rFonts w:eastAsia="仿宋_GB2312"/>
          <w:sz w:val="24"/>
          <w:szCs w:val="24"/>
        </w:rPr>
        <w:t>与</w:t>
      </w:r>
      <w:r>
        <w:rPr>
          <w:rFonts w:hint="eastAsia" w:eastAsia="仿宋_GB2312"/>
          <w:sz w:val="24"/>
          <w:szCs w:val="24"/>
        </w:rPr>
        <w:t>省级</w:t>
      </w:r>
      <w:r>
        <w:rPr>
          <w:rFonts w:eastAsia="仿宋_GB2312"/>
          <w:sz w:val="24"/>
          <w:szCs w:val="24"/>
        </w:rPr>
        <w:t>药品监管部门进行沟通</w:t>
      </w:r>
      <w:r>
        <w:rPr>
          <w:rFonts w:hint="eastAsia" w:eastAsia="仿宋_GB2312"/>
          <w:sz w:val="24"/>
          <w:szCs w:val="24"/>
        </w:rPr>
        <w:t>，省级</w:t>
      </w:r>
      <w:r>
        <w:rPr>
          <w:rFonts w:eastAsia="仿宋_GB2312"/>
          <w:sz w:val="24"/>
          <w:szCs w:val="24"/>
        </w:rPr>
        <w:t>药品监管部门</w:t>
      </w:r>
      <w:r>
        <w:rPr>
          <w:rFonts w:hint="eastAsia" w:eastAsia="仿宋_GB2312"/>
          <w:sz w:val="24"/>
          <w:szCs w:val="24"/>
        </w:rPr>
        <w:t>应当在20日内书面答复，意见</w:t>
      </w:r>
      <w:r>
        <w:rPr>
          <w:rFonts w:eastAsia="仿宋_GB2312"/>
          <w:sz w:val="24"/>
          <w:szCs w:val="24"/>
        </w:rPr>
        <w:t>一致</w:t>
      </w:r>
      <w:r>
        <w:rPr>
          <w:rFonts w:hint="eastAsia" w:eastAsia="仿宋_GB2312"/>
          <w:sz w:val="24"/>
          <w:szCs w:val="24"/>
        </w:rPr>
        <w:t>的</w:t>
      </w:r>
      <w:r>
        <w:rPr>
          <w:rFonts w:eastAsia="仿宋_GB2312"/>
          <w:sz w:val="24"/>
          <w:szCs w:val="24"/>
        </w:rPr>
        <w:t>按规定实施；</w:t>
      </w:r>
      <w:r>
        <w:rPr>
          <w:rFonts w:hint="eastAsia" w:eastAsia="仿宋_GB2312"/>
          <w:sz w:val="24"/>
          <w:szCs w:val="24"/>
        </w:rPr>
        <w:t>对是否属于审批类变更意见不</w:t>
      </w:r>
      <w:r>
        <w:rPr>
          <w:rFonts w:eastAsia="仿宋_GB2312"/>
          <w:sz w:val="24"/>
          <w:szCs w:val="24"/>
        </w:rPr>
        <w:t>一致的，</w:t>
      </w:r>
      <w:r>
        <w:rPr>
          <w:rFonts w:hint="eastAsia" w:eastAsia="仿宋_GB2312"/>
          <w:sz w:val="24"/>
          <w:szCs w:val="24"/>
        </w:rPr>
        <w:t>持有人应当按照审批类变更，向药审中心提出补充申请；对属于备案类变更和报告类变更意见不一致的，持有人应当按照备案类变更，向省级药品监管部门备案</w:t>
      </w:r>
      <w:r>
        <w:rPr>
          <w:rFonts w:eastAsia="仿宋_GB2312"/>
          <w:sz w:val="24"/>
          <w:szCs w:val="24"/>
        </w:rPr>
        <w:t>。具体沟通程序由各省级药品监管部门自行制定。</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eastAsia="仿宋_GB2312"/>
          <w:sz w:val="24"/>
          <w:szCs w:val="24"/>
        </w:rPr>
      </w:pPr>
      <w:r>
        <w:rPr>
          <w:rFonts w:eastAsia="仿宋_GB2312"/>
          <w:sz w:val="24"/>
          <w:szCs w:val="24"/>
        </w:rPr>
        <w:t>境外持有人在充分研究、评估和必要的验证的基础上，无法确认变更管理类别的，可以与药审中心沟通，具体沟通程序按照药品注册沟通交流的有关程序进行。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持有人可以根据管理和生产技术变化对变更管理类别进行调整，并按照调整后的变更管理类别经批准、备案后实施</w:t>
      </w:r>
      <w:r>
        <w:rPr>
          <w:rFonts w:hint="eastAsia" w:eastAsia="仿宋_GB2312"/>
          <w:sz w:val="24"/>
          <w:szCs w:val="24"/>
        </w:rPr>
        <w:t>或</w:t>
      </w:r>
      <w:r>
        <w:rPr>
          <w:rFonts w:eastAsia="仿宋_GB2312"/>
          <w:sz w:val="24"/>
          <w:szCs w:val="24"/>
        </w:rPr>
        <w:t>报告。</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其中，降低技术指导原则中明确的变更管理类别</w:t>
      </w:r>
      <w:r>
        <w:rPr>
          <w:rFonts w:hint="eastAsia" w:eastAsia="仿宋_GB2312"/>
          <w:sz w:val="24"/>
          <w:szCs w:val="24"/>
        </w:rPr>
        <w:t>，或降低持有人变更清单中的变更管理类别</w:t>
      </w:r>
      <w:r>
        <w:rPr>
          <w:rFonts w:eastAsia="仿宋_GB2312"/>
          <w:sz w:val="24"/>
          <w:szCs w:val="24"/>
        </w:rPr>
        <w:t>，</w:t>
      </w:r>
      <w:r>
        <w:rPr>
          <w:rFonts w:hint="eastAsia" w:eastAsia="仿宋_GB2312"/>
          <w:sz w:val="24"/>
          <w:szCs w:val="24"/>
        </w:rPr>
        <w:t>境内持有人应当在充分研究、评估和必要验证的基础上</w:t>
      </w:r>
      <w:r>
        <w:rPr>
          <w:rFonts w:eastAsia="仿宋_GB2312"/>
          <w:sz w:val="24"/>
          <w:szCs w:val="24"/>
        </w:rPr>
        <w:t>与</w:t>
      </w:r>
      <w:r>
        <w:rPr>
          <w:rFonts w:hint="eastAsia" w:eastAsia="仿宋_GB2312"/>
          <w:sz w:val="24"/>
          <w:szCs w:val="24"/>
        </w:rPr>
        <w:t>省级</w:t>
      </w:r>
      <w:r>
        <w:rPr>
          <w:rFonts w:eastAsia="仿宋_GB2312"/>
          <w:sz w:val="24"/>
          <w:szCs w:val="24"/>
        </w:rPr>
        <w:t>药品监管部门沟通</w:t>
      </w:r>
      <w:r>
        <w:rPr>
          <w:rFonts w:hint="eastAsia" w:eastAsia="仿宋_GB2312"/>
          <w:sz w:val="24"/>
          <w:szCs w:val="24"/>
        </w:rPr>
        <w:t>，省级</w:t>
      </w:r>
      <w:r>
        <w:rPr>
          <w:rFonts w:eastAsia="仿宋_GB2312"/>
          <w:sz w:val="24"/>
          <w:szCs w:val="24"/>
        </w:rPr>
        <w:t>药品监管部门</w:t>
      </w:r>
      <w:r>
        <w:rPr>
          <w:rFonts w:hint="eastAsia" w:eastAsia="仿宋_GB2312"/>
          <w:sz w:val="24"/>
          <w:szCs w:val="24"/>
        </w:rPr>
        <w:t>应当在20日内书面答复，意见</w:t>
      </w:r>
      <w:r>
        <w:rPr>
          <w:rFonts w:eastAsia="仿宋_GB2312"/>
          <w:sz w:val="24"/>
          <w:szCs w:val="24"/>
        </w:rPr>
        <w:t>一致</w:t>
      </w:r>
      <w:r>
        <w:rPr>
          <w:rFonts w:hint="eastAsia" w:eastAsia="仿宋_GB2312"/>
          <w:sz w:val="24"/>
          <w:szCs w:val="24"/>
        </w:rPr>
        <w:t>的</w:t>
      </w:r>
      <w:r>
        <w:rPr>
          <w:rFonts w:eastAsia="仿宋_GB2312"/>
          <w:sz w:val="24"/>
          <w:szCs w:val="24"/>
        </w:rPr>
        <w:t>按规定</w:t>
      </w:r>
      <w:r>
        <w:rPr>
          <w:rFonts w:hint="eastAsia" w:eastAsia="仿宋_GB2312"/>
          <w:sz w:val="24"/>
          <w:szCs w:val="24"/>
        </w:rPr>
        <w:t>执行，意见不一致的不得降低变更管理类别</w:t>
      </w:r>
      <w:r>
        <w:rPr>
          <w:rFonts w:eastAsia="仿宋_GB2312"/>
          <w:sz w:val="24"/>
          <w:szCs w:val="24"/>
        </w:rPr>
        <w:t>。具体沟通程序由各省级药品监管部门自行制定。</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hint="eastAsia" w:eastAsia="仿宋_GB2312"/>
          <w:sz w:val="24"/>
          <w:szCs w:val="24"/>
        </w:rPr>
        <w:t>降低</w:t>
      </w:r>
      <w:r>
        <w:rPr>
          <w:rFonts w:eastAsia="仿宋_GB2312"/>
          <w:sz w:val="24"/>
          <w:szCs w:val="24"/>
        </w:rPr>
        <w:t>境外生产药品变更管理类别的，</w:t>
      </w:r>
      <w:r>
        <w:rPr>
          <w:rFonts w:hint="eastAsia" w:eastAsia="仿宋_GB2312"/>
          <w:sz w:val="24"/>
          <w:szCs w:val="24"/>
        </w:rPr>
        <w:t>持有人应当</w:t>
      </w:r>
      <w:r>
        <w:rPr>
          <w:rFonts w:eastAsia="仿宋_GB2312"/>
          <w:sz w:val="24"/>
          <w:szCs w:val="24"/>
        </w:rPr>
        <w:t>在充分研究</w:t>
      </w:r>
      <w:r>
        <w:rPr>
          <w:rFonts w:hint="eastAsia" w:eastAsia="仿宋_GB2312"/>
          <w:sz w:val="24"/>
          <w:szCs w:val="24"/>
        </w:rPr>
        <w:t>、评估</w:t>
      </w:r>
      <w:r>
        <w:rPr>
          <w:rFonts w:eastAsia="仿宋_GB2312"/>
          <w:sz w:val="24"/>
          <w:szCs w:val="24"/>
        </w:rPr>
        <w:t>和</w:t>
      </w:r>
      <w:r>
        <w:rPr>
          <w:rFonts w:hint="eastAsia" w:eastAsia="仿宋_GB2312"/>
          <w:sz w:val="24"/>
          <w:szCs w:val="24"/>
        </w:rPr>
        <w:t>必要的</w:t>
      </w:r>
      <w:r>
        <w:rPr>
          <w:rFonts w:eastAsia="仿宋_GB2312"/>
          <w:sz w:val="24"/>
          <w:szCs w:val="24"/>
        </w:rPr>
        <w:t>验证的基础上与药审中心沟通并达成一致后</w:t>
      </w:r>
      <w:r>
        <w:rPr>
          <w:rFonts w:hint="eastAsia" w:eastAsia="仿宋_GB2312"/>
          <w:sz w:val="24"/>
          <w:szCs w:val="24"/>
        </w:rPr>
        <w:t>执行</w:t>
      </w:r>
      <w:r>
        <w:rPr>
          <w:rFonts w:eastAsia="仿宋_GB2312"/>
          <w:sz w:val="24"/>
          <w:szCs w:val="24"/>
        </w:rPr>
        <w:t>，</w:t>
      </w:r>
      <w:r>
        <w:rPr>
          <w:rFonts w:hint="eastAsia" w:eastAsia="仿宋_GB2312"/>
          <w:sz w:val="24"/>
          <w:szCs w:val="24"/>
        </w:rPr>
        <w:t>意见不一致的不得降低变更管理类别</w:t>
      </w:r>
      <w:r>
        <w:rPr>
          <w:rFonts w:eastAsia="仿宋_GB2312"/>
          <w:sz w:val="24"/>
          <w:szCs w:val="24"/>
        </w:rPr>
        <w:t>。具体</w:t>
      </w:r>
      <w:r>
        <w:rPr>
          <w:rFonts w:hint="eastAsia" w:eastAsia="仿宋_GB2312"/>
          <w:sz w:val="24"/>
          <w:szCs w:val="24"/>
        </w:rPr>
        <w:t>沟通程序</w:t>
      </w:r>
      <w:r>
        <w:rPr>
          <w:rFonts w:eastAsia="仿宋_GB2312"/>
          <w:sz w:val="24"/>
          <w:szCs w:val="24"/>
        </w:rPr>
        <w:t>按照药品注册沟通交流的有关程序进行。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新修订《药品管理法》和《药品注册管理办法》实施前，持有人或生产企业按照原生产工艺变更管理的有关规定和技术要求经研究、验证证明不影响药品质量的</w:t>
      </w:r>
      <w:r>
        <w:rPr>
          <w:rFonts w:hint="eastAsia" w:eastAsia="仿宋_GB2312"/>
          <w:sz w:val="24"/>
          <w:szCs w:val="24"/>
        </w:rPr>
        <w:t>已实施的</w:t>
      </w:r>
      <w:r>
        <w:rPr>
          <w:rFonts w:eastAsia="仿宋_GB2312"/>
          <w:sz w:val="24"/>
          <w:szCs w:val="24"/>
        </w:rPr>
        <w:t>变更，或经过批准、再注册</w:t>
      </w:r>
      <w:r>
        <w:rPr>
          <w:rFonts w:hint="eastAsia" w:eastAsia="仿宋_GB2312"/>
          <w:sz w:val="24"/>
          <w:szCs w:val="24"/>
        </w:rPr>
        <w:t>中已确认</w:t>
      </w:r>
      <w:r>
        <w:rPr>
          <w:rFonts w:eastAsia="仿宋_GB2312"/>
          <w:sz w:val="24"/>
          <w:szCs w:val="24"/>
        </w:rPr>
        <w:t>的工艺，不需按照新的变更管理规定及技术要求重新申报</w:t>
      </w:r>
      <w:r>
        <w:rPr>
          <w:rFonts w:hint="eastAsia" w:eastAsia="仿宋_GB2312"/>
          <w:sz w:val="24"/>
          <w:szCs w:val="24"/>
        </w:rPr>
        <w:t>，</w:t>
      </w:r>
      <w:r>
        <w:rPr>
          <w:rFonts w:eastAsia="仿宋_GB2312"/>
          <w:sz w:val="24"/>
          <w:szCs w:val="24"/>
        </w:rPr>
        <w:t>再次发生变更的，</w:t>
      </w:r>
      <w:r>
        <w:rPr>
          <w:rFonts w:hint="eastAsia" w:eastAsia="仿宋_GB2312"/>
          <w:sz w:val="24"/>
          <w:szCs w:val="24"/>
        </w:rPr>
        <w:t>应当</w:t>
      </w:r>
      <w:r>
        <w:rPr>
          <w:rFonts w:eastAsia="仿宋_GB2312"/>
          <w:sz w:val="24"/>
          <w:szCs w:val="24"/>
        </w:rPr>
        <w:t>按现行变更管理规定和技术要求执行，并纳入</w:t>
      </w:r>
      <w:r>
        <w:rPr>
          <w:rFonts w:hint="eastAsia" w:eastAsia="仿宋_GB2312"/>
          <w:sz w:val="24"/>
          <w:szCs w:val="24"/>
        </w:rPr>
        <w:t>药品</w:t>
      </w:r>
      <w:r>
        <w:rPr>
          <w:rFonts w:eastAsia="仿宋_GB2312"/>
          <w:sz w:val="24"/>
          <w:szCs w:val="24"/>
        </w:rPr>
        <w:t>品种档案。</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eastAsia="仿宋_GB2312"/>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4"/>
          <w:szCs w:val="24"/>
        </w:rPr>
      </w:pPr>
      <w:r>
        <w:rPr>
          <w:rFonts w:eastAsia="方正小标宋简体"/>
          <w:sz w:val="24"/>
          <w:szCs w:val="24"/>
        </w:rPr>
        <w:t>第四章  变更程序、要求和监督管理</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审批类</w:t>
      </w:r>
      <w:r>
        <w:rPr>
          <w:rFonts w:eastAsia="仿宋_GB2312"/>
          <w:sz w:val="24"/>
          <w:szCs w:val="24"/>
        </w:rPr>
        <w:t>变更</w:t>
      </w:r>
      <w:r>
        <w:rPr>
          <w:rFonts w:hint="eastAsia" w:eastAsia="仿宋_GB2312"/>
          <w:sz w:val="24"/>
          <w:szCs w:val="24"/>
        </w:rPr>
        <w:t>应当</w:t>
      </w:r>
      <w:r>
        <w:rPr>
          <w:rFonts w:eastAsia="仿宋_GB2312"/>
          <w:sz w:val="24"/>
          <w:szCs w:val="24"/>
        </w:rPr>
        <w:t>由持有人向药审中心提出补充申请，按照有关规定和变更技术指导原则提交研究资料，经批准后实施。具体工作时限按照《药品注册管理办法》有关规定执行。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持有人应当在提出变更的补充申请时承诺变更获得批准后的实施时间，实施时间原则上最长不得超过自变更获批之日起6个月，涉及药品安全性变更的事项除外，具体以药品补充申请通知书载明的实施日期为准。</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备案类</w:t>
      </w:r>
      <w:r>
        <w:rPr>
          <w:rFonts w:eastAsia="仿宋_GB2312"/>
          <w:sz w:val="24"/>
          <w:szCs w:val="24"/>
        </w:rPr>
        <w:t>变更</w:t>
      </w:r>
      <w:r>
        <w:rPr>
          <w:rFonts w:hint="eastAsia" w:eastAsia="仿宋_GB2312"/>
          <w:sz w:val="24"/>
          <w:szCs w:val="24"/>
        </w:rPr>
        <w:t>应当</w:t>
      </w:r>
      <w:r>
        <w:rPr>
          <w:rFonts w:eastAsia="仿宋_GB2312"/>
          <w:sz w:val="24"/>
          <w:szCs w:val="24"/>
        </w:rPr>
        <w:t>由持有人向药审中心或省级药品监管部门备案。备案部门</w:t>
      </w:r>
      <w:r>
        <w:rPr>
          <w:rFonts w:hint="eastAsia" w:eastAsia="仿宋_GB2312"/>
          <w:sz w:val="24"/>
          <w:szCs w:val="24"/>
        </w:rPr>
        <w:t>应当</w:t>
      </w:r>
      <w:r>
        <w:rPr>
          <w:rFonts w:eastAsia="仿宋_GB2312"/>
          <w:sz w:val="24"/>
          <w:szCs w:val="24"/>
        </w:rPr>
        <w:t>自备案完成之日起5日内公示有关信息。</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hint="eastAsia" w:eastAsia="仿宋_GB2312"/>
          <w:bCs/>
          <w:sz w:val="24"/>
          <w:szCs w:val="24"/>
        </w:rPr>
      </w:pPr>
      <w:r>
        <w:rPr>
          <w:rFonts w:hint="eastAsia" w:eastAsia="仿宋_GB2312"/>
          <w:bCs/>
          <w:sz w:val="24"/>
          <w:szCs w:val="24"/>
        </w:rPr>
        <w:t>省级药品监管</w:t>
      </w:r>
      <w:r>
        <w:rPr>
          <w:rFonts w:eastAsia="仿宋_GB2312"/>
          <w:bCs/>
          <w:sz w:val="24"/>
          <w:szCs w:val="24"/>
        </w:rPr>
        <w:t>部门</w:t>
      </w:r>
      <w:r>
        <w:rPr>
          <w:rFonts w:hint="eastAsia" w:eastAsia="仿宋_GB2312"/>
          <w:bCs/>
          <w:sz w:val="24"/>
          <w:szCs w:val="24"/>
        </w:rPr>
        <w:t>应当</w:t>
      </w:r>
      <w:r>
        <w:rPr>
          <w:rFonts w:eastAsia="仿宋_GB2312"/>
          <w:bCs/>
          <w:sz w:val="24"/>
          <w:szCs w:val="24"/>
        </w:rPr>
        <w:t>加强监管，根据备案变更事项的风险特点和</w:t>
      </w:r>
      <w:r>
        <w:rPr>
          <w:rFonts w:hint="eastAsia" w:eastAsia="仿宋_GB2312"/>
          <w:bCs/>
          <w:sz w:val="24"/>
          <w:szCs w:val="24"/>
        </w:rPr>
        <w:t>安全</w:t>
      </w:r>
      <w:r>
        <w:rPr>
          <w:rFonts w:eastAsia="仿宋_GB2312"/>
          <w:bCs/>
          <w:sz w:val="24"/>
          <w:szCs w:val="24"/>
        </w:rPr>
        <w:t>信用情况，</w:t>
      </w:r>
      <w:r>
        <w:rPr>
          <w:rFonts w:hint="eastAsia" w:eastAsia="仿宋_GB2312"/>
          <w:sz w:val="24"/>
          <w:szCs w:val="24"/>
        </w:rPr>
        <w:t>自备案完成之日起30日内</w:t>
      </w:r>
      <w:r>
        <w:rPr>
          <w:rFonts w:hint="eastAsia" w:eastAsia="仿宋_GB2312"/>
          <w:bCs/>
          <w:sz w:val="24"/>
          <w:szCs w:val="24"/>
        </w:rPr>
        <w:t>完成对</w:t>
      </w:r>
      <w:r>
        <w:rPr>
          <w:rFonts w:eastAsia="仿宋_GB2312"/>
          <w:bCs/>
          <w:sz w:val="24"/>
          <w:szCs w:val="24"/>
        </w:rPr>
        <w:t>备案</w:t>
      </w:r>
      <w:r>
        <w:rPr>
          <w:rFonts w:hint="eastAsia" w:eastAsia="仿宋_GB2312"/>
          <w:bCs/>
          <w:sz w:val="24"/>
          <w:szCs w:val="24"/>
        </w:rPr>
        <w:t>资料的审查</w:t>
      </w:r>
      <w:r>
        <w:rPr>
          <w:rFonts w:eastAsia="仿宋_GB2312"/>
          <w:bCs/>
          <w:sz w:val="24"/>
          <w:szCs w:val="24"/>
        </w:rPr>
        <w:t>，必要时可实施检查与检验。</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hint="eastAsia" w:eastAsia="仿宋_GB2312"/>
          <w:sz w:val="24"/>
          <w:szCs w:val="24"/>
        </w:rPr>
      </w:pPr>
      <w:r>
        <w:rPr>
          <w:rFonts w:eastAsia="仿宋_GB2312"/>
          <w:sz w:val="24"/>
          <w:szCs w:val="24"/>
        </w:rPr>
        <w:t>省级药品监管部门可根据</w:t>
      </w:r>
      <w:r>
        <w:rPr>
          <w:rFonts w:hint="eastAsia" w:eastAsia="仿宋_GB2312"/>
          <w:sz w:val="24"/>
          <w:szCs w:val="24"/>
        </w:rPr>
        <w:t>本办法和其他相关规定细化有关备案审查要求，</w:t>
      </w:r>
      <w:r>
        <w:rPr>
          <w:rFonts w:eastAsia="仿宋_GB2312"/>
          <w:sz w:val="24"/>
          <w:szCs w:val="24"/>
        </w:rPr>
        <w:t>制定本省注册管理事项变更备案管理的具体工作程序和要求。</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报告类</w:t>
      </w:r>
      <w:r>
        <w:rPr>
          <w:rFonts w:eastAsia="仿宋_GB2312"/>
          <w:sz w:val="24"/>
          <w:szCs w:val="24"/>
        </w:rPr>
        <w:t>变更</w:t>
      </w:r>
      <w:r>
        <w:rPr>
          <w:rFonts w:hint="eastAsia" w:eastAsia="仿宋_GB2312"/>
          <w:sz w:val="24"/>
          <w:szCs w:val="24"/>
        </w:rPr>
        <w:t>应当由</w:t>
      </w:r>
      <w:r>
        <w:rPr>
          <w:rFonts w:eastAsia="仿宋_GB2312"/>
          <w:sz w:val="24"/>
          <w:szCs w:val="24"/>
        </w:rPr>
        <w:t>持有人按照变更管理的有关要求进行管理，在年度报告中载明。</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药审中心和省级药品监管部门接收变更补充申请和备案时，认为申请人申请的变更不属于本单位职能的，</w:t>
      </w:r>
      <w:r>
        <w:rPr>
          <w:rFonts w:hint="eastAsia" w:eastAsia="仿宋_GB2312"/>
          <w:sz w:val="24"/>
          <w:szCs w:val="24"/>
        </w:rPr>
        <w:t>应当</w:t>
      </w:r>
      <w:r>
        <w:rPr>
          <w:rFonts w:eastAsia="仿宋_GB2312"/>
          <w:sz w:val="24"/>
          <w:szCs w:val="24"/>
        </w:rPr>
        <w:t>出具加盖公章的文件书面告知理由，并告知申请人向有关部门申请。</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国家药品监督管理局建立变更申报系统，对备案类变更、年度报告类变更实行全程网上办理。</w:t>
      </w:r>
    </w:p>
    <w:p>
      <w:pPr>
        <w:pStyle w:val="4"/>
        <w:keepNext w:val="0"/>
        <w:keepLines w:val="0"/>
        <w:pageBreakBefore w:val="0"/>
        <w:tabs>
          <w:tab w:val="left" w:pos="0"/>
        </w:tabs>
        <w:kinsoku/>
        <w:wordWrap/>
        <w:overflowPunct/>
        <w:topLinePunct w:val="0"/>
        <w:autoSpaceDE/>
        <w:autoSpaceDN/>
        <w:bidi w:val="0"/>
        <w:adjustRightInd/>
        <w:spacing w:line="360" w:lineRule="auto"/>
        <w:ind w:firstLine="640" w:firstLineChars="0"/>
        <w:textAlignment w:val="auto"/>
        <w:rPr>
          <w:rFonts w:eastAsia="仿宋_GB2312"/>
          <w:sz w:val="24"/>
          <w:szCs w:val="24"/>
        </w:rPr>
      </w:pPr>
      <w:r>
        <w:rPr>
          <w:rFonts w:eastAsia="仿宋_GB2312"/>
          <w:sz w:val="24"/>
          <w:szCs w:val="24"/>
        </w:rPr>
        <w:t>药品监管部门</w:t>
      </w:r>
      <w:r>
        <w:rPr>
          <w:rFonts w:hint="eastAsia" w:eastAsia="仿宋_GB2312"/>
          <w:sz w:val="24"/>
          <w:szCs w:val="24"/>
        </w:rPr>
        <w:t>应当</w:t>
      </w:r>
      <w:r>
        <w:rPr>
          <w:rFonts w:eastAsia="仿宋_GB2312"/>
          <w:sz w:val="24"/>
          <w:szCs w:val="24"/>
        </w:rPr>
        <w:t>将药品上市后变更的批准和备案情况及时纳入药品品种档案；持有人</w:t>
      </w:r>
      <w:r>
        <w:rPr>
          <w:rFonts w:hint="eastAsia" w:eastAsia="仿宋_GB2312"/>
          <w:sz w:val="24"/>
          <w:szCs w:val="24"/>
        </w:rPr>
        <w:t>应当</w:t>
      </w:r>
      <w:r>
        <w:rPr>
          <w:rFonts w:eastAsia="仿宋_GB2312"/>
          <w:sz w:val="24"/>
          <w:szCs w:val="24"/>
        </w:rPr>
        <w:t>在年度报告中对本年度所有药品变更情况进行总结分析。</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持有人和受托生产</w:t>
      </w:r>
      <w:r>
        <w:rPr>
          <w:rFonts w:hint="eastAsia" w:eastAsia="仿宋_GB2312"/>
          <w:sz w:val="24"/>
          <w:szCs w:val="24"/>
        </w:rPr>
        <w:t>企业</w:t>
      </w:r>
      <w:r>
        <w:rPr>
          <w:rFonts w:eastAsia="仿宋_GB2312"/>
          <w:sz w:val="24"/>
          <w:szCs w:val="24"/>
        </w:rPr>
        <w:t>所在地省级药品监管部门</w:t>
      </w:r>
      <w:r>
        <w:rPr>
          <w:rFonts w:hint="eastAsia" w:eastAsia="仿宋_GB2312"/>
          <w:sz w:val="24"/>
          <w:szCs w:val="24"/>
        </w:rPr>
        <w:t>应当按照药品生产监管的有关规定</w:t>
      </w:r>
      <w:r>
        <w:rPr>
          <w:rFonts w:eastAsia="仿宋_GB2312"/>
          <w:sz w:val="24"/>
          <w:szCs w:val="24"/>
        </w:rPr>
        <w:t>加强对药品上市后变更的监督管理</w:t>
      </w:r>
      <w:r>
        <w:rPr>
          <w:rFonts w:hint="eastAsia" w:eastAsia="仿宋_GB2312"/>
          <w:sz w:val="24"/>
          <w:szCs w:val="24"/>
        </w:rPr>
        <w:t>，对</w:t>
      </w:r>
      <w:r>
        <w:rPr>
          <w:rFonts w:eastAsia="仿宋_GB2312"/>
          <w:sz w:val="24"/>
          <w:szCs w:val="24"/>
        </w:rPr>
        <w:t>持有人变更控制体系进行监督检查，督促其履行变更管理的责任。</w:t>
      </w:r>
    </w:p>
    <w:p>
      <w:pPr>
        <w:pStyle w:val="4"/>
        <w:keepNext w:val="0"/>
        <w:keepLines w:val="0"/>
        <w:pageBreakBefore w:val="0"/>
        <w:tabs>
          <w:tab w:val="left" w:pos="0"/>
        </w:tabs>
        <w:kinsoku/>
        <w:wordWrap/>
        <w:overflowPunct/>
        <w:topLinePunct w:val="0"/>
        <w:autoSpaceDE/>
        <w:autoSpaceDN/>
        <w:bidi w:val="0"/>
        <w:adjustRightInd/>
        <w:spacing w:line="360" w:lineRule="auto"/>
        <w:ind w:firstLine="0" w:firstLineChars="0"/>
        <w:textAlignment w:val="auto"/>
        <w:rPr>
          <w:rFonts w:eastAsia="仿宋_GB2312"/>
          <w:sz w:val="24"/>
          <w:szCs w:val="24"/>
        </w:rPr>
      </w:pPr>
      <w:r>
        <w:rPr>
          <w:rFonts w:hint="eastAsia" w:eastAsia="仿宋_GB2312"/>
          <w:sz w:val="24"/>
          <w:szCs w:val="24"/>
        </w:rPr>
        <w:t xml:space="preserve">    </w:t>
      </w:r>
      <w:r>
        <w:rPr>
          <w:rFonts w:eastAsia="仿宋_GB2312"/>
          <w:sz w:val="24"/>
          <w:szCs w:val="24"/>
        </w:rPr>
        <w:t>法律、法规、指导原则中明确为重大变更或持有人确定为重大变更的，</w:t>
      </w:r>
      <w:r>
        <w:rPr>
          <w:rFonts w:hint="eastAsia" w:eastAsia="仿宋_GB2312"/>
          <w:sz w:val="24"/>
          <w:szCs w:val="24"/>
        </w:rPr>
        <w:t>应当</w:t>
      </w:r>
      <w:r>
        <w:rPr>
          <w:rFonts w:eastAsia="仿宋_GB2312"/>
          <w:sz w:val="24"/>
          <w:szCs w:val="24"/>
        </w:rPr>
        <w:t>按照有关规定批准后实施。与药品监管部门沟通并达成一致后降低变更管理类别的变更，</w:t>
      </w:r>
      <w:r>
        <w:rPr>
          <w:rFonts w:hint="eastAsia" w:eastAsia="仿宋_GB2312"/>
          <w:sz w:val="24"/>
          <w:szCs w:val="24"/>
        </w:rPr>
        <w:t>应当</w:t>
      </w:r>
      <w:r>
        <w:rPr>
          <w:rFonts w:eastAsia="仿宋_GB2312"/>
          <w:sz w:val="24"/>
          <w:szCs w:val="24"/>
        </w:rPr>
        <w:t>按照达成一致的变更管理类别申报备案或报告。法律、法规、</w:t>
      </w:r>
      <w:r>
        <w:rPr>
          <w:rFonts w:hint="eastAsia" w:eastAsia="仿宋_GB2312"/>
          <w:sz w:val="24"/>
          <w:szCs w:val="24"/>
        </w:rPr>
        <w:t>技术</w:t>
      </w:r>
      <w:r>
        <w:rPr>
          <w:rFonts w:eastAsia="仿宋_GB2312"/>
          <w:sz w:val="24"/>
          <w:szCs w:val="24"/>
        </w:rPr>
        <w:t>指导原则中明确为备案、报告管理的变更或持有人确定为备案、报告管理的变更，</w:t>
      </w:r>
      <w:r>
        <w:rPr>
          <w:rFonts w:hint="eastAsia" w:eastAsia="仿宋_GB2312"/>
          <w:sz w:val="24"/>
          <w:szCs w:val="24"/>
        </w:rPr>
        <w:t>应当</w:t>
      </w:r>
      <w:r>
        <w:rPr>
          <w:rFonts w:eastAsia="仿宋_GB2312"/>
          <w:sz w:val="24"/>
          <w:szCs w:val="24"/>
        </w:rPr>
        <w:t>按照有关规定提出备案或报告。</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药品监管部门发现持有人已实施</w:t>
      </w:r>
      <w:r>
        <w:rPr>
          <w:rFonts w:hint="eastAsia" w:eastAsia="仿宋_GB2312"/>
          <w:sz w:val="24"/>
          <w:szCs w:val="24"/>
        </w:rPr>
        <w:t>的备案或报告类</w:t>
      </w:r>
      <w:r>
        <w:rPr>
          <w:rFonts w:eastAsia="仿宋_GB2312"/>
          <w:sz w:val="24"/>
          <w:szCs w:val="24"/>
        </w:rPr>
        <w:t>变更的研究和验证结果不足以证明该变更科学、合理、风险可控，或者变更管理类别分类不当的，</w:t>
      </w:r>
      <w:r>
        <w:rPr>
          <w:rFonts w:hint="eastAsia" w:eastAsia="仿宋_GB2312"/>
          <w:sz w:val="24"/>
          <w:szCs w:val="24"/>
        </w:rPr>
        <w:t>应当</w:t>
      </w:r>
      <w:r>
        <w:rPr>
          <w:rFonts w:eastAsia="仿宋_GB2312"/>
          <w:sz w:val="24"/>
          <w:szCs w:val="24"/>
        </w:rPr>
        <w:t>要求持有人改正并</w:t>
      </w:r>
      <w:r>
        <w:rPr>
          <w:rFonts w:hint="eastAsia" w:eastAsia="仿宋_GB2312"/>
          <w:sz w:val="24"/>
          <w:szCs w:val="24"/>
        </w:rPr>
        <w:t>按照改正后的管理类别重新提出申请，同时</w:t>
      </w:r>
      <w:r>
        <w:rPr>
          <w:rFonts w:eastAsia="仿宋_GB2312"/>
          <w:sz w:val="24"/>
          <w:szCs w:val="24"/>
        </w:rPr>
        <w:t>对已生产上市的药品开展风险评估，采取相应风险控制措施。</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r>
        <w:rPr>
          <w:rFonts w:eastAsia="仿宋_GB2312"/>
          <w:sz w:val="24"/>
          <w:szCs w:val="24"/>
        </w:rPr>
        <w:t>未经批准在药品生产过程中进行</w:t>
      </w:r>
      <w:r>
        <w:rPr>
          <w:rFonts w:hint="eastAsia" w:eastAsia="仿宋_GB2312"/>
          <w:sz w:val="24"/>
          <w:szCs w:val="24"/>
        </w:rPr>
        <w:t>重大</w:t>
      </w:r>
      <w:r>
        <w:rPr>
          <w:rFonts w:eastAsia="仿宋_GB2312"/>
          <w:sz w:val="24"/>
          <w:szCs w:val="24"/>
        </w:rPr>
        <w:t>变更、</w:t>
      </w:r>
      <w:r>
        <w:rPr>
          <w:rFonts w:hint="eastAsia" w:eastAsia="仿宋_GB2312"/>
          <w:sz w:val="24"/>
          <w:szCs w:val="24"/>
        </w:rPr>
        <w:t>未按照规定对</w:t>
      </w:r>
      <w:r>
        <w:rPr>
          <w:rFonts w:eastAsia="仿宋_GB2312"/>
          <w:sz w:val="24"/>
          <w:szCs w:val="24"/>
        </w:rPr>
        <w:t>药品生产过程中的</w:t>
      </w:r>
      <w:r>
        <w:rPr>
          <w:rFonts w:hint="eastAsia" w:eastAsia="仿宋_GB2312"/>
          <w:sz w:val="24"/>
          <w:szCs w:val="24"/>
        </w:rPr>
        <w:t>变更进行备案或报告的</w:t>
      </w:r>
      <w:r>
        <w:rPr>
          <w:rFonts w:eastAsia="仿宋_GB2312"/>
          <w:sz w:val="24"/>
          <w:szCs w:val="24"/>
        </w:rPr>
        <w:t>，按照《药品管理法》相关规定依法处理。</w:t>
      </w:r>
    </w:p>
    <w:p>
      <w:pPr>
        <w:pStyle w:val="4"/>
        <w:keepNext w:val="0"/>
        <w:keepLines w:val="0"/>
        <w:pageBreakBefore w:val="0"/>
        <w:kinsoku/>
        <w:wordWrap/>
        <w:overflowPunct/>
        <w:topLinePunct w:val="0"/>
        <w:autoSpaceDE/>
        <w:autoSpaceDN/>
        <w:bidi w:val="0"/>
        <w:adjustRightInd/>
        <w:spacing w:line="360" w:lineRule="auto"/>
        <w:ind w:firstLine="640"/>
        <w:textAlignment w:val="auto"/>
        <w:rPr>
          <w:rFonts w:eastAsia="仿宋_GB2312"/>
          <w:sz w:val="24"/>
          <w:szCs w:val="24"/>
        </w:rPr>
      </w:pPr>
    </w:p>
    <w:p>
      <w:pPr>
        <w:keepNext w:val="0"/>
        <w:keepLines w:val="0"/>
        <w:pageBreakBefore w:val="0"/>
        <w:kinsoku/>
        <w:wordWrap/>
        <w:overflowPunct/>
        <w:topLinePunct w:val="0"/>
        <w:autoSpaceDE/>
        <w:autoSpaceDN/>
        <w:bidi w:val="0"/>
        <w:adjustRightInd/>
        <w:spacing w:line="360" w:lineRule="auto"/>
        <w:jc w:val="center"/>
        <w:textAlignment w:val="auto"/>
        <w:rPr>
          <w:rFonts w:eastAsia="方正小标宋简体"/>
          <w:sz w:val="24"/>
          <w:szCs w:val="24"/>
        </w:rPr>
      </w:pPr>
      <w:r>
        <w:rPr>
          <w:rFonts w:eastAsia="方正小标宋简体"/>
          <w:sz w:val="24"/>
          <w:szCs w:val="24"/>
        </w:rPr>
        <w:t>第五章  附  则</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医疗用毒性药品、麻醉药品、精神药品、放射性药品、生物制品等变更管理有专门规定的，从其规定。</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本办法规定的日以工作日计算。</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不同补充申请合并申报的有关要求按照《药品注册管理办法》相关规定执行。</w:t>
      </w:r>
    </w:p>
    <w:p>
      <w:pPr>
        <w:pStyle w:val="4"/>
        <w:keepNext w:val="0"/>
        <w:keepLines w:val="0"/>
        <w:pageBreakBefore w:val="0"/>
        <w:numPr>
          <w:ilvl w:val="0"/>
          <w:numId w:val="1"/>
        </w:numPr>
        <w:kinsoku/>
        <w:wordWrap/>
        <w:overflowPunct/>
        <w:topLinePunct w:val="0"/>
        <w:autoSpaceDE/>
        <w:autoSpaceDN/>
        <w:bidi w:val="0"/>
        <w:adjustRightInd/>
        <w:spacing w:line="360" w:lineRule="auto"/>
        <w:ind w:left="0" w:firstLine="640"/>
        <w:textAlignment w:val="auto"/>
        <w:rPr>
          <w:rFonts w:eastAsia="仿宋_GB2312"/>
          <w:sz w:val="24"/>
          <w:szCs w:val="24"/>
        </w:rPr>
      </w:pPr>
      <w:r>
        <w:rPr>
          <w:rFonts w:hint="eastAsia" w:eastAsia="仿宋_GB2312"/>
          <w:sz w:val="24"/>
          <w:szCs w:val="24"/>
        </w:rPr>
        <w:t xml:space="preserve">  </w:t>
      </w:r>
      <w:r>
        <w:rPr>
          <w:rFonts w:eastAsia="仿宋_GB2312"/>
          <w:sz w:val="24"/>
          <w:szCs w:val="24"/>
        </w:rPr>
        <w:t>本</w:t>
      </w:r>
      <w:r>
        <w:rPr>
          <w:rFonts w:hint="eastAsia" w:eastAsia="仿宋_GB2312"/>
          <w:sz w:val="24"/>
          <w:szCs w:val="24"/>
        </w:rPr>
        <w:t>办法</w:t>
      </w:r>
      <w:r>
        <w:rPr>
          <w:rFonts w:eastAsia="仿宋_GB2312"/>
          <w:sz w:val="24"/>
          <w:szCs w:val="24"/>
        </w:rPr>
        <w:t>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EA539"/>
    <w:multiLevelType w:val="multilevel"/>
    <w:tmpl w:val="674EA539"/>
    <w:lvl w:ilvl="0" w:tentative="0">
      <w:start w:val="1"/>
      <w:numFmt w:val="chineseCounting"/>
      <w:suff w:val="nothing"/>
      <w:lvlText w:val="第%1条"/>
      <w:lvlJc w:val="left"/>
      <w:pPr>
        <w:tabs>
          <w:tab w:val="left" w:pos="0"/>
        </w:tabs>
        <w:ind w:left="2547" w:hanging="420"/>
      </w:pPr>
      <w:rPr>
        <w:rFonts w:hint="eastAsia" w:ascii="宋体" w:hAnsi="宋体" w:eastAsia="黑体" w:cs="宋体"/>
        <w:b w:val="0"/>
        <w:i w:val="0"/>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MmExM2Y2NGQ2OWM1N2IzY2E5MjM5Mjc4OWY3OTYifQ=="/>
  </w:docVars>
  <w:rsids>
    <w:rsidRoot w:val="43206842"/>
    <w:rsid w:val="4320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2022-07-18T02:03:00Z</dcterms:created>
  <dc:creator>WPS_1605086118</dc:creator>
  <cp:lastModifiedBy>WPS_1605086118</cp:lastModifiedBy>
  <dcterms:modified xsi:type="dcterms:W3CDTF">2022-07-18T02:07:44Z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36CB3FD457844FB380AA5C060307C42F</vt:lpwstr>
  </property>
</Properties>
</file>