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FF6EE1">
      <w:pPr>
        <w:keepNext w:val="0"/>
        <w:keepLines/>
        <w:pageBreakBefore w:val="0"/>
        <w:widowControl w:val="0"/>
        <w:kinsoku/>
        <w:wordWrap/>
        <w:overflowPunct/>
        <w:topLinePunct w:val="0"/>
        <w:autoSpaceDE/>
        <w:autoSpaceDN/>
        <w:bidi w:val="0"/>
        <w:adjustRightInd/>
        <w:snapToGrid/>
        <w:textAlignment w:val="auto"/>
      </w:pPr>
    </w:p>
    <w:p w14:paraId="372E02F3">
      <w:pPr>
        <w:keepNext w:val="0"/>
        <w:keepLines/>
        <w:pageBreakBefore w:val="0"/>
        <w:widowControl w:val="0"/>
        <w:kinsoku/>
        <w:wordWrap/>
        <w:overflowPunct/>
        <w:topLinePunct w:val="0"/>
        <w:autoSpaceDE/>
        <w:autoSpaceDN/>
        <w:bidi w:val="0"/>
        <w:adjustRightInd/>
        <w:snapToGrid/>
        <w:jc w:val="center"/>
        <w:textAlignment w:val="auto"/>
        <w:rPr>
          <w:rFonts w:hint="eastAsia" w:ascii="方正小标宋简体" w:hAnsi="方正小标宋简体" w:eastAsia="方正小标宋简体" w:cs="方正小标宋简体"/>
          <w:sz w:val="44"/>
          <w:szCs w:val="44"/>
        </w:rPr>
      </w:pPr>
    </w:p>
    <w:p w14:paraId="45CC47E0">
      <w:pPr>
        <w:keepNext w:val="0"/>
        <w:keepLines/>
        <w:pageBreakBefore w:val="0"/>
        <w:widowControl w:val="0"/>
        <w:kinsoku/>
        <w:wordWrap/>
        <w:overflowPunct/>
        <w:topLinePunct w:val="0"/>
        <w:autoSpaceDE/>
        <w:autoSpaceDN/>
        <w:bidi w:val="0"/>
        <w:adjustRightInd/>
        <w:snapToGrid/>
        <w:jc w:val="center"/>
        <w:textAlignment w:val="auto"/>
        <w:rPr>
          <w:rFonts w:hint="eastAsia" w:ascii="方正小标宋简体" w:hAnsi="方正小标宋简体" w:eastAsia="方正小标宋简体" w:cs="方正小标宋简体"/>
          <w:spacing w:val="340"/>
          <w:sz w:val="72"/>
          <w:szCs w:val="72"/>
        </w:rPr>
      </w:pPr>
    </w:p>
    <w:p w14:paraId="5B7DB331">
      <w:pPr>
        <w:keepNext w:val="0"/>
        <w:keepLines/>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pacing w:val="340"/>
          <w:sz w:val="60"/>
          <w:szCs w:val="60"/>
          <w:lang w:val="en-US" w:eastAsia="zh-CN"/>
        </w:rPr>
      </w:pPr>
      <w:bookmarkStart w:id="2" w:name="_GoBack"/>
      <w:bookmarkStart w:id="0" w:name="OLE_LINK1"/>
      <w:r>
        <w:rPr>
          <w:rFonts w:hint="eastAsia" w:ascii="宋体" w:hAnsi="宋体" w:eastAsia="宋体" w:cs="宋体"/>
          <w:spacing w:val="340"/>
          <w:sz w:val="60"/>
          <w:szCs w:val="60"/>
          <w:lang w:val="en-US" w:eastAsia="zh-CN"/>
        </w:rPr>
        <w:t>党委会议室家具</w:t>
      </w:r>
    </w:p>
    <w:p w14:paraId="02B5E472">
      <w:pPr>
        <w:keepNext w:val="0"/>
        <w:keepLines/>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pacing w:val="340"/>
          <w:sz w:val="60"/>
          <w:szCs w:val="60"/>
        </w:rPr>
      </w:pPr>
      <w:r>
        <w:rPr>
          <w:rFonts w:hint="eastAsia" w:ascii="宋体" w:hAnsi="宋体" w:eastAsia="宋体" w:cs="宋体"/>
          <w:spacing w:val="340"/>
          <w:sz w:val="60"/>
          <w:szCs w:val="60"/>
        </w:rPr>
        <w:t>询价</w:t>
      </w:r>
      <w:bookmarkEnd w:id="0"/>
      <w:r>
        <w:rPr>
          <w:rFonts w:hint="eastAsia" w:ascii="宋体" w:hAnsi="宋体" w:eastAsia="宋体" w:cs="宋体"/>
          <w:spacing w:val="340"/>
          <w:sz w:val="60"/>
          <w:szCs w:val="60"/>
        </w:rPr>
        <w:t>文件</w:t>
      </w:r>
    </w:p>
    <w:bookmarkEnd w:id="2"/>
    <w:p w14:paraId="3C36C08E">
      <w:pPr>
        <w:keepNext w:val="0"/>
        <w:keepLines/>
        <w:pageBreakBefore w:val="0"/>
        <w:widowControl w:val="0"/>
        <w:kinsoku/>
        <w:wordWrap/>
        <w:overflowPunct/>
        <w:topLinePunct w:val="0"/>
        <w:autoSpaceDE/>
        <w:autoSpaceDN/>
        <w:bidi w:val="0"/>
        <w:adjustRightInd/>
        <w:snapToGrid/>
        <w:jc w:val="center"/>
        <w:textAlignment w:val="auto"/>
        <w:rPr>
          <w:rFonts w:hint="eastAsia" w:ascii="方正小标宋简体" w:hAnsi="方正小标宋简体" w:eastAsia="方正小标宋简体" w:cs="方正小标宋简体"/>
          <w:sz w:val="44"/>
          <w:szCs w:val="44"/>
        </w:rPr>
      </w:pPr>
    </w:p>
    <w:p w14:paraId="48C91797">
      <w:pPr>
        <w:keepNext w:val="0"/>
        <w:keepLines/>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32"/>
          <w:szCs w:val="32"/>
        </w:rPr>
      </w:pPr>
      <w:r>
        <w:rPr>
          <w:rFonts w:hint="eastAsia" w:ascii="宋体" w:hAnsi="宋体" w:eastAsia="宋体" w:cs="宋体"/>
          <w:sz w:val="32"/>
          <w:szCs w:val="32"/>
          <w:lang w:eastAsia="zh-CN"/>
        </w:rPr>
        <w:t>（</w:t>
      </w:r>
      <w:r>
        <w:rPr>
          <w:rFonts w:hint="eastAsia" w:ascii="宋体" w:hAnsi="宋体" w:eastAsia="宋体" w:cs="宋体"/>
          <w:sz w:val="32"/>
          <w:szCs w:val="32"/>
        </w:rPr>
        <w:t>询价编号</w:t>
      </w:r>
      <w:r>
        <w:rPr>
          <w:rFonts w:hint="eastAsia" w:ascii="宋体" w:hAnsi="宋体" w:eastAsia="宋体" w:cs="宋体"/>
          <w:sz w:val="32"/>
          <w:szCs w:val="32"/>
          <w:u w:val="single"/>
        </w:rPr>
        <w:t xml:space="preserve">     </w:t>
      </w:r>
      <w:r>
        <w:rPr>
          <w:rFonts w:hint="eastAsia" w:ascii="宋体" w:hAnsi="宋体" w:eastAsia="宋体" w:cs="宋体"/>
          <w:sz w:val="32"/>
          <w:szCs w:val="32"/>
          <w:u w:val="single"/>
          <w:lang w:val="en-US" w:eastAsia="zh-CN"/>
        </w:rPr>
        <w:t xml:space="preserve">               </w:t>
      </w:r>
      <w:r>
        <w:rPr>
          <w:rFonts w:hint="eastAsia" w:ascii="宋体" w:hAnsi="宋体" w:eastAsia="宋体" w:cs="宋体"/>
          <w:sz w:val="32"/>
          <w:szCs w:val="32"/>
          <w:u w:val="single"/>
        </w:rPr>
        <w:t xml:space="preserve"> </w:t>
      </w:r>
      <w:r>
        <w:rPr>
          <w:rFonts w:hint="eastAsia" w:ascii="宋体" w:hAnsi="宋体" w:eastAsia="宋体" w:cs="宋体"/>
          <w:sz w:val="32"/>
          <w:szCs w:val="32"/>
        </w:rPr>
        <w:t xml:space="preserve"> </w:t>
      </w:r>
      <w:r>
        <w:rPr>
          <w:rFonts w:hint="eastAsia" w:ascii="宋体" w:hAnsi="宋体" w:eastAsia="宋体" w:cs="宋体"/>
          <w:sz w:val="32"/>
          <w:szCs w:val="32"/>
          <w:lang w:eastAsia="zh-CN"/>
        </w:rPr>
        <w:t>）</w:t>
      </w:r>
      <w:r>
        <w:rPr>
          <w:rFonts w:hint="eastAsia" w:ascii="宋体" w:hAnsi="宋体" w:eastAsia="宋体" w:cs="宋体"/>
          <w:sz w:val="32"/>
          <w:szCs w:val="32"/>
        </w:rPr>
        <w:t xml:space="preserve">  </w:t>
      </w:r>
    </w:p>
    <w:p w14:paraId="0C65ACD9">
      <w:pPr>
        <w:keepNext w:val="0"/>
        <w:keepLines/>
        <w:pageBreakBefore w:val="0"/>
        <w:widowControl w:val="0"/>
        <w:kinsoku/>
        <w:wordWrap/>
        <w:overflowPunct/>
        <w:topLinePunct w:val="0"/>
        <w:autoSpaceDE/>
        <w:autoSpaceDN/>
        <w:bidi w:val="0"/>
        <w:adjustRightInd/>
        <w:snapToGrid/>
        <w:textAlignment w:val="auto"/>
      </w:pPr>
    </w:p>
    <w:p w14:paraId="5846EA65">
      <w:pPr>
        <w:keepNext w:val="0"/>
        <w:keepLines/>
        <w:pageBreakBefore w:val="0"/>
        <w:widowControl w:val="0"/>
        <w:kinsoku/>
        <w:wordWrap/>
        <w:overflowPunct/>
        <w:topLinePunct w:val="0"/>
        <w:autoSpaceDE/>
        <w:autoSpaceDN/>
        <w:bidi w:val="0"/>
        <w:adjustRightInd/>
        <w:snapToGrid/>
        <w:textAlignment w:val="auto"/>
      </w:pPr>
    </w:p>
    <w:p w14:paraId="09ECF4F6">
      <w:pPr>
        <w:keepNext w:val="0"/>
        <w:keepLines/>
        <w:pageBreakBefore w:val="0"/>
        <w:widowControl w:val="0"/>
        <w:kinsoku/>
        <w:wordWrap/>
        <w:overflowPunct/>
        <w:topLinePunct w:val="0"/>
        <w:autoSpaceDE/>
        <w:autoSpaceDN/>
        <w:bidi w:val="0"/>
        <w:adjustRightInd/>
        <w:snapToGrid/>
        <w:textAlignment w:val="auto"/>
      </w:pPr>
    </w:p>
    <w:p w14:paraId="519F2BA5">
      <w:pPr>
        <w:keepNext w:val="0"/>
        <w:keepLines/>
        <w:pageBreakBefore w:val="0"/>
        <w:widowControl w:val="0"/>
        <w:kinsoku/>
        <w:wordWrap/>
        <w:overflowPunct/>
        <w:topLinePunct w:val="0"/>
        <w:autoSpaceDE/>
        <w:autoSpaceDN/>
        <w:bidi w:val="0"/>
        <w:adjustRightInd/>
        <w:snapToGrid/>
        <w:textAlignment w:val="auto"/>
      </w:pPr>
    </w:p>
    <w:p w14:paraId="2BC78B4F">
      <w:pPr>
        <w:keepNext w:val="0"/>
        <w:keepLines/>
        <w:pageBreakBefore w:val="0"/>
        <w:widowControl w:val="0"/>
        <w:kinsoku/>
        <w:wordWrap/>
        <w:overflowPunct/>
        <w:topLinePunct w:val="0"/>
        <w:autoSpaceDE/>
        <w:autoSpaceDN/>
        <w:bidi w:val="0"/>
        <w:adjustRightInd/>
        <w:snapToGrid/>
        <w:textAlignment w:val="auto"/>
      </w:pPr>
    </w:p>
    <w:p w14:paraId="6F7EC50C">
      <w:pPr>
        <w:keepNext w:val="0"/>
        <w:keepLines/>
        <w:pageBreakBefore w:val="0"/>
        <w:widowControl w:val="0"/>
        <w:kinsoku/>
        <w:wordWrap/>
        <w:overflowPunct/>
        <w:topLinePunct w:val="0"/>
        <w:autoSpaceDE/>
        <w:autoSpaceDN/>
        <w:bidi w:val="0"/>
        <w:adjustRightInd/>
        <w:snapToGrid/>
        <w:textAlignment w:val="auto"/>
      </w:pPr>
    </w:p>
    <w:p w14:paraId="140F1BA9">
      <w:pPr>
        <w:keepNext w:val="0"/>
        <w:keepLines/>
        <w:pageBreakBefore w:val="0"/>
        <w:widowControl w:val="0"/>
        <w:kinsoku/>
        <w:wordWrap/>
        <w:overflowPunct/>
        <w:topLinePunct w:val="0"/>
        <w:autoSpaceDE/>
        <w:autoSpaceDN/>
        <w:bidi w:val="0"/>
        <w:adjustRightInd/>
        <w:snapToGrid/>
        <w:textAlignment w:val="auto"/>
      </w:pPr>
    </w:p>
    <w:p w14:paraId="7743DEAB">
      <w:pPr>
        <w:keepNext w:val="0"/>
        <w:keepLines/>
        <w:pageBreakBefore w:val="0"/>
        <w:widowControl w:val="0"/>
        <w:kinsoku/>
        <w:wordWrap/>
        <w:overflowPunct/>
        <w:topLinePunct w:val="0"/>
        <w:autoSpaceDE/>
        <w:autoSpaceDN/>
        <w:bidi w:val="0"/>
        <w:adjustRightInd/>
        <w:snapToGrid/>
        <w:textAlignment w:val="auto"/>
      </w:pPr>
    </w:p>
    <w:p w14:paraId="4D0F112A">
      <w:pPr>
        <w:keepNext w:val="0"/>
        <w:keepLines/>
        <w:pageBreakBefore w:val="0"/>
        <w:widowControl w:val="0"/>
        <w:kinsoku/>
        <w:wordWrap/>
        <w:overflowPunct/>
        <w:topLinePunct w:val="0"/>
        <w:autoSpaceDE/>
        <w:autoSpaceDN/>
        <w:bidi w:val="0"/>
        <w:adjustRightInd/>
        <w:snapToGrid/>
        <w:textAlignment w:val="auto"/>
      </w:pPr>
    </w:p>
    <w:p w14:paraId="68B30CB4">
      <w:pPr>
        <w:keepNext w:val="0"/>
        <w:keepLines/>
        <w:pageBreakBefore w:val="0"/>
        <w:widowControl w:val="0"/>
        <w:kinsoku/>
        <w:wordWrap/>
        <w:overflowPunct/>
        <w:topLinePunct w:val="0"/>
        <w:autoSpaceDE/>
        <w:autoSpaceDN/>
        <w:bidi w:val="0"/>
        <w:adjustRightInd/>
        <w:snapToGrid/>
        <w:textAlignment w:val="auto"/>
      </w:pPr>
    </w:p>
    <w:p w14:paraId="2FCF0915">
      <w:pPr>
        <w:keepNext w:val="0"/>
        <w:keepLines/>
        <w:pageBreakBefore w:val="0"/>
        <w:widowControl w:val="0"/>
        <w:kinsoku/>
        <w:wordWrap/>
        <w:overflowPunct/>
        <w:topLinePunct w:val="0"/>
        <w:autoSpaceDE/>
        <w:autoSpaceDN/>
        <w:bidi w:val="0"/>
        <w:adjustRightInd/>
        <w:snapToGrid/>
        <w:textAlignment w:val="auto"/>
      </w:pPr>
    </w:p>
    <w:p w14:paraId="4CC3F06B">
      <w:pPr>
        <w:keepNext w:val="0"/>
        <w:keepLines/>
        <w:pageBreakBefore w:val="0"/>
        <w:widowControl w:val="0"/>
        <w:kinsoku/>
        <w:wordWrap/>
        <w:overflowPunct/>
        <w:topLinePunct w:val="0"/>
        <w:autoSpaceDE/>
        <w:autoSpaceDN/>
        <w:bidi w:val="0"/>
        <w:adjustRightInd/>
        <w:snapToGrid/>
        <w:textAlignment w:val="auto"/>
      </w:pPr>
    </w:p>
    <w:p w14:paraId="075FA8FE">
      <w:pPr>
        <w:keepNext w:val="0"/>
        <w:keepLines/>
        <w:pageBreakBefore w:val="0"/>
        <w:widowControl w:val="0"/>
        <w:kinsoku/>
        <w:wordWrap/>
        <w:overflowPunct/>
        <w:topLinePunct w:val="0"/>
        <w:autoSpaceDE/>
        <w:autoSpaceDN/>
        <w:bidi w:val="0"/>
        <w:adjustRightInd/>
        <w:snapToGrid/>
        <w:textAlignment w:val="auto"/>
      </w:pPr>
    </w:p>
    <w:p w14:paraId="780BE976">
      <w:pPr>
        <w:keepNext w:val="0"/>
        <w:keepLines/>
        <w:pageBreakBefore w:val="0"/>
        <w:widowControl w:val="0"/>
        <w:kinsoku/>
        <w:wordWrap/>
        <w:overflowPunct/>
        <w:topLinePunct w:val="0"/>
        <w:autoSpaceDE/>
        <w:autoSpaceDN/>
        <w:bidi w:val="0"/>
        <w:adjustRightInd/>
        <w:snapToGrid/>
        <w:textAlignment w:val="auto"/>
      </w:pPr>
    </w:p>
    <w:p w14:paraId="4C2F3CBF">
      <w:pPr>
        <w:keepNext w:val="0"/>
        <w:keepLines/>
        <w:pageBreakBefore w:val="0"/>
        <w:widowControl w:val="0"/>
        <w:kinsoku/>
        <w:wordWrap/>
        <w:overflowPunct/>
        <w:topLinePunct w:val="0"/>
        <w:autoSpaceDE/>
        <w:autoSpaceDN/>
        <w:bidi w:val="0"/>
        <w:adjustRightInd/>
        <w:snapToGrid/>
        <w:textAlignment w:val="auto"/>
      </w:pPr>
    </w:p>
    <w:p w14:paraId="4C51DD9B">
      <w:pPr>
        <w:keepNext w:val="0"/>
        <w:keepLines/>
        <w:pageBreakBefore w:val="0"/>
        <w:widowControl w:val="0"/>
        <w:kinsoku/>
        <w:wordWrap/>
        <w:overflowPunct/>
        <w:topLinePunct w:val="0"/>
        <w:autoSpaceDE/>
        <w:autoSpaceDN/>
        <w:bidi w:val="0"/>
        <w:adjustRightInd/>
        <w:snapToGrid/>
        <w:textAlignment w:val="auto"/>
      </w:pPr>
    </w:p>
    <w:p w14:paraId="5E655721">
      <w:pPr>
        <w:keepNext w:val="0"/>
        <w:keepLines/>
        <w:pageBreakBefore w:val="0"/>
        <w:widowControl w:val="0"/>
        <w:kinsoku/>
        <w:wordWrap/>
        <w:overflowPunct/>
        <w:topLinePunct w:val="0"/>
        <w:autoSpaceDE/>
        <w:autoSpaceDN/>
        <w:bidi w:val="0"/>
        <w:adjustRightInd/>
        <w:snapToGrid/>
        <w:textAlignment w:val="auto"/>
      </w:pPr>
    </w:p>
    <w:p w14:paraId="57144463">
      <w:pPr>
        <w:keepNext w:val="0"/>
        <w:keepLines/>
        <w:pageBreakBefore w:val="0"/>
        <w:widowControl w:val="0"/>
        <w:kinsoku/>
        <w:wordWrap/>
        <w:overflowPunct/>
        <w:topLinePunct w:val="0"/>
        <w:autoSpaceDE/>
        <w:autoSpaceDN/>
        <w:bidi w:val="0"/>
        <w:adjustRightInd/>
        <w:snapToGrid/>
        <w:textAlignment w:val="auto"/>
      </w:pPr>
    </w:p>
    <w:p w14:paraId="3329B96D">
      <w:pPr>
        <w:keepNext w:val="0"/>
        <w:keepLines/>
        <w:pageBreakBefore w:val="0"/>
        <w:widowControl w:val="0"/>
        <w:kinsoku/>
        <w:wordWrap/>
        <w:overflowPunct/>
        <w:topLinePunct w:val="0"/>
        <w:autoSpaceDE/>
        <w:autoSpaceDN/>
        <w:bidi w:val="0"/>
        <w:adjustRightInd/>
        <w:snapToGrid/>
        <w:textAlignment w:val="auto"/>
      </w:pPr>
    </w:p>
    <w:p w14:paraId="090A3301">
      <w:pPr>
        <w:keepNext w:val="0"/>
        <w:keepLines/>
        <w:pageBreakBefore w:val="0"/>
        <w:widowControl w:val="0"/>
        <w:kinsoku/>
        <w:wordWrap/>
        <w:overflowPunct/>
        <w:topLinePunct w:val="0"/>
        <w:autoSpaceDE/>
        <w:autoSpaceDN/>
        <w:bidi w:val="0"/>
        <w:adjustRightInd/>
        <w:snapToGrid/>
        <w:textAlignment w:val="auto"/>
        <w:rPr>
          <w:sz w:val="32"/>
          <w:szCs w:val="32"/>
        </w:rPr>
      </w:pPr>
    </w:p>
    <w:p w14:paraId="25826CB5">
      <w:pPr>
        <w:keepNext w:val="0"/>
        <w:keepLines/>
        <w:pageBreakBefore w:val="0"/>
        <w:widowControl w:val="0"/>
        <w:kinsoku/>
        <w:wordWrap/>
        <w:overflowPunct/>
        <w:topLinePunct w:val="0"/>
        <w:autoSpaceDE/>
        <w:autoSpaceDN/>
        <w:bidi w:val="0"/>
        <w:adjustRightInd/>
        <w:snapToGrid/>
        <w:jc w:val="center"/>
        <w:textAlignment w:val="auto"/>
        <w:rPr>
          <w:rFonts w:hint="default" w:eastAsia="宋体"/>
          <w:sz w:val="32"/>
          <w:szCs w:val="32"/>
          <w:lang w:val="en-US" w:eastAsia="zh-CN"/>
        </w:rPr>
        <w:sectPr>
          <w:headerReference r:id="rId3" w:type="default"/>
          <w:footerReference r:id="rId4" w:type="default"/>
          <w:pgSz w:w="11900" w:h="16820"/>
          <w:pgMar w:top="1420" w:right="1240" w:bottom="1420" w:left="1240" w:header="1120" w:footer="1120" w:gutter="0"/>
          <w:cols w:space="720" w:num="1"/>
        </w:sectPr>
      </w:pPr>
      <w:r>
        <w:rPr>
          <w:rFonts w:hint="eastAsia"/>
          <w:sz w:val="32"/>
          <w:szCs w:val="32"/>
          <w:u w:val="single"/>
          <w:lang w:val="en-US" w:eastAsia="zh-CN"/>
        </w:rPr>
        <w:t>2026 年 7月  31 日</w:t>
      </w:r>
    </w:p>
    <w:p w14:paraId="35DAE0CB">
      <w:pPr>
        <w:keepNext w:val="0"/>
        <w:keepLines/>
        <w:pageBreakBefore w:val="0"/>
        <w:widowControl w:val="0"/>
        <w:kinsoku/>
        <w:wordWrap/>
        <w:overflowPunct/>
        <w:topLinePunct w:val="0"/>
        <w:autoSpaceDE/>
        <w:autoSpaceDN/>
        <w:bidi w:val="0"/>
        <w:adjustRightInd/>
        <w:snapToGrid/>
        <w:jc w:val="center"/>
        <w:textAlignment w:val="auto"/>
        <w:rPr>
          <w:rFonts w:hint="eastAsia" w:ascii="仿宋_GB2312" w:hAnsi="仿宋_GB2312" w:eastAsia="仿宋_GB2312" w:cs="仿宋_GB2312"/>
          <w:b/>
          <w:bCs/>
          <w:sz w:val="48"/>
          <w:szCs w:val="48"/>
        </w:rPr>
      </w:pPr>
      <w:r>
        <w:rPr>
          <w:rFonts w:hint="eastAsia" w:ascii="仿宋_GB2312" w:hAnsi="仿宋_GB2312" w:eastAsia="仿宋_GB2312" w:cs="仿宋_GB2312"/>
          <w:b/>
          <w:bCs/>
          <w:sz w:val="48"/>
          <w:szCs w:val="48"/>
        </w:rPr>
        <w:t>报价要求及相关资料</w:t>
      </w:r>
    </w:p>
    <w:p w14:paraId="7C94F19D">
      <w:pPr>
        <w:keepNext w:val="0"/>
        <w:keepLines/>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rPr>
      </w:pPr>
    </w:p>
    <w:p w14:paraId="56B0482A">
      <w:pPr>
        <w:keepNext w:val="0"/>
        <w:keepLines/>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递交资料要求</w:t>
      </w:r>
    </w:p>
    <w:p w14:paraId="609044F4">
      <w:pPr>
        <w:keepNext w:val="0"/>
        <w:keepLines/>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法人提交企业法人营业执照副本(或者法人登记证书)</w:t>
      </w:r>
      <w:r>
        <w:rPr>
          <w:rFonts w:hint="eastAsia" w:ascii="仿宋_GB2312" w:hAnsi="仿宋_GB2312" w:eastAsia="仿宋_GB2312" w:cs="仿宋_GB2312"/>
          <w:sz w:val="28"/>
          <w:szCs w:val="28"/>
          <w:lang w:eastAsia="zh-CN"/>
        </w:rPr>
        <w:t>。</w:t>
      </w:r>
    </w:p>
    <w:p w14:paraId="2546EE4F">
      <w:pPr>
        <w:keepNext w:val="0"/>
        <w:keepLines/>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rPr>
        <w:t>法人提交法定代表人身份证明原件或者法定代表人授权委托书原件并附法定代表人身份证明原件；自然人提交身份证明复印件；</w:t>
      </w:r>
    </w:p>
    <w:p w14:paraId="19575613">
      <w:pPr>
        <w:keepNext w:val="0"/>
        <w:keepLines/>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3、认为需要提供的其他证明资料。</w:t>
      </w:r>
    </w:p>
    <w:p w14:paraId="7BDB68C7">
      <w:pPr>
        <w:keepNext w:val="0"/>
        <w:keepLines/>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报价要求</w:t>
      </w:r>
    </w:p>
    <w:p w14:paraId="5287A672">
      <w:pPr>
        <w:keepNext w:val="0"/>
        <w:keepLines/>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报价单要求加盖公司</w:t>
      </w:r>
      <w:r>
        <w:rPr>
          <w:rFonts w:hint="eastAsia" w:ascii="仿宋_GB2312" w:hAnsi="仿宋_GB2312" w:eastAsia="仿宋_GB2312" w:cs="仿宋_GB2312"/>
          <w:sz w:val="28"/>
          <w:szCs w:val="28"/>
          <w:lang w:eastAsia="zh-CN"/>
        </w:rPr>
        <w:t>公章，</w:t>
      </w:r>
      <w:r>
        <w:rPr>
          <w:rFonts w:hint="eastAsia" w:ascii="仿宋_GB2312" w:hAnsi="仿宋_GB2312" w:eastAsia="仿宋_GB2312" w:cs="仿宋_GB2312"/>
          <w:sz w:val="28"/>
          <w:szCs w:val="28"/>
        </w:rPr>
        <w:t>报价单请按甲方提供格式填写</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报价限价为9万元，高于</w:t>
      </w:r>
      <w:r>
        <w:rPr>
          <w:rFonts w:hint="eastAsia" w:ascii="仿宋_GB2312" w:hAnsi="仿宋_GB2312" w:eastAsia="仿宋_GB2312" w:cs="仿宋_GB2312"/>
          <w:sz w:val="28"/>
          <w:szCs w:val="28"/>
          <w:u w:val="single"/>
          <w:lang w:val="en-US" w:eastAsia="zh-CN"/>
        </w:rPr>
        <w:t>9万元</w:t>
      </w:r>
      <w:r>
        <w:rPr>
          <w:rFonts w:hint="eastAsia" w:ascii="仿宋_GB2312" w:hAnsi="仿宋_GB2312" w:eastAsia="仿宋_GB2312" w:cs="仿宋_GB2312"/>
          <w:sz w:val="28"/>
          <w:szCs w:val="28"/>
          <w:lang w:val="en-US" w:eastAsia="zh-CN"/>
        </w:rPr>
        <w:t>为无效报价</w:t>
      </w:r>
      <w:r>
        <w:rPr>
          <w:rFonts w:hint="eastAsia" w:ascii="仿宋_GB2312" w:hAnsi="仿宋_GB2312" w:eastAsia="仿宋_GB2312" w:cs="仿宋_GB2312"/>
          <w:sz w:val="28"/>
          <w:szCs w:val="28"/>
          <w:lang w:eastAsia="zh-CN"/>
        </w:rPr>
        <w:t>。</w:t>
      </w:r>
    </w:p>
    <w:p w14:paraId="0B995B8E">
      <w:pPr>
        <w:keepNext w:val="0"/>
        <w:keepLines/>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合同样本</w:t>
      </w:r>
    </w:p>
    <w:p w14:paraId="2B6AFCA4">
      <w:pPr>
        <w:keepNext w:val="0"/>
        <w:keepLines/>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四</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报价清单</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附后</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请按附后</w:t>
      </w:r>
      <w:r>
        <w:rPr>
          <w:rFonts w:hint="eastAsia" w:ascii="仿宋_GB2312" w:hAnsi="仿宋_GB2312" w:eastAsia="仿宋_GB2312" w:cs="仿宋_GB2312"/>
          <w:sz w:val="28"/>
          <w:szCs w:val="28"/>
          <w:lang w:val="en-US" w:eastAsia="zh-CN"/>
        </w:rPr>
        <w:t>进</w:t>
      </w:r>
      <w:r>
        <w:rPr>
          <w:rFonts w:hint="eastAsia" w:ascii="仿宋_GB2312" w:hAnsi="仿宋_GB2312" w:eastAsia="仿宋_GB2312" w:cs="仿宋_GB2312"/>
          <w:sz w:val="28"/>
          <w:szCs w:val="28"/>
        </w:rPr>
        <w:t>行报价</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本项目采取合理</w:t>
      </w:r>
      <w:r>
        <w:rPr>
          <w:rFonts w:hint="eastAsia" w:ascii="仿宋_GB2312" w:hAnsi="仿宋_GB2312" w:eastAsia="仿宋_GB2312" w:cs="仿宋_GB2312"/>
          <w:sz w:val="28"/>
          <w:szCs w:val="28"/>
          <w:lang w:val="en-US" w:eastAsia="zh-CN"/>
        </w:rPr>
        <w:t>低价洽</w:t>
      </w:r>
      <w:r>
        <w:rPr>
          <w:rFonts w:hint="eastAsia" w:ascii="仿宋_GB2312" w:hAnsi="仿宋_GB2312" w:eastAsia="仿宋_GB2312" w:cs="仿宋_GB2312"/>
          <w:sz w:val="28"/>
          <w:szCs w:val="28"/>
        </w:rPr>
        <w:t>谈方式，即在收集完各单位报价后仅与我方认为单价及</w:t>
      </w:r>
      <w:r>
        <w:rPr>
          <w:rFonts w:hint="eastAsia" w:ascii="仿宋_GB2312" w:hAnsi="仿宋_GB2312" w:eastAsia="仿宋_GB2312" w:cs="仿宋_GB2312"/>
          <w:sz w:val="28"/>
          <w:szCs w:val="28"/>
          <w:lang w:val="en-US" w:eastAsia="zh-CN"/>
        </w:rPr>
        <w:t>供货方案</w:t>
      </w:r>
      <w:r>
        <w:rPr>
          <w:rFonts w:hint="eastAsia" w:ascii="仿宋_GB2312" w:hAnsi="仿宋_GB2312" w:eastAsia="仿宋_GB2312" w:cs="仿宋_GB2312"/>
          <w:sz w:val="28"/>
          <w:szCs w:val="28"/>
        </w:rPr>
        <w:t>最优的前三家单位进行洽谈</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洽谈单价不得高于本次报价</w:t>
      </w:r>
      <w:r>
        <w:rPr>
          <w:rFonts w:hint="eastAsia" w:ascii="仿宋_GB2312" w:hAnsi="仿宋_GB2312" w:eastAsia="仿宋_GB2312" w:cs="仿宋_GB2312"/>
          <w:sz w:val="28"/>
          <w:szCs w:val="28"/>
          <w:lang w:eastAsia="zh-CN"/>
        </w:rPr>
        <w:t>。</w:t>
      </w:r>
    </w:p>
    <w:p w14:paraId="15A2E3CA">
      <w:pPr>
        <w:keepNext w:val="0"/>
        <w:keepLines/>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其他</w:t>
      </w:r>
    </w:p>
    <w:p w14:paraId="11A7878E">
      <w:pPr>
        <w:keepNext w:val="0"/>
        <w:keepLines/>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报价递交要求：请于</w:t>
      </w:r>
      <w:r>
        <w:rPr>
          <w:rFonts w:hint="eastAsia" w:ascii="仿宋_GB2312" w:hAnsi="仿宋_GB2312" w:eastAsia="仿宋_GB2312" w:cs="仿宋_GB2312"/>
          <w:sz w:val="28"/>
          <w:szCs w:val="28"/>
          <w:u w:val="single"/>
        </w:rPr>
        <w:t>2026</w:t>
      </w:r>
      <w:r>
        <w:rPr>
          <w:rFonts w:hint="eastAsia" w:ascii="仿宋_GB2312" w:hAnsi="仿宋_GB2312" w:eastAsia="仿宋_GB2312" w:cs="仿宋_GB2312"/>
          <w:sz w:val="28"/>
          <w:szCs w:val="28"/>
          <w:u w:val="single"/>
          <w:shd w:val="clear"/>
        </w:rPr>
        <w:t>年</w:t>
      </w:r>
      <w:r>
        <w:rPr>
          <w:rFonts w:hint="eastAsia" w:ascii="仿宋_GB2312" w:hAnsi="仿宋_GB2312" w:eastAsia="仿宋_GB2312" w:cs="仿宋_GB2312"/>
          <w:sz w:val="28"/>
          <w:szCs w:val="28"/>
          <w:u w:val="single"/>
          <w:shd w:val="clear"/>
          <w:lang w:val="en-US" w:eastAsia="zh-CN"/>
        </w:rPr>
        <w:t>8月6日17</w:t>
      </w:r>
      <w:r>
        <w:rPr>
          <w:rFonts w:hint="eastAsia" w:ascii="仿宋_GB2312" w:hAnsi="仿宋_GB2312" w:eastAsia="仿宋_GB2312" w:cs="仿宋_GB2312"/>
          <w:sz w:val="28"/>
          <w:szCs w:val="28"/>
          <w:shd w:val="clear"/>
          <w:lang w:val="en-US" w:eastAsia="zh-CN"/>
        </w:rPr>
        <w:t>点</w:t>
      </w:r>
      <w:r>
        <w:rPr>
          <w:rFonts w:hint="eastAsia" w:ascii="仿宋_GB2312" w:hAnsi="仿宋_GB2312" w:eastAsia="仿宋_GB2312" w:cs="仿宋_GB2312"/>
          <w:sz w:val="28"/>
          <w:szCs w:val="28"/>
          <w:lang w:val="en-US" w:eastAsia="zh-CN"/>
        </w:rPr>
        <w:t>前</w:t>
      </w:r>
      <w:r>
        <w:rPr>
          <w:rFonts w:hint="eastAsia" w:ascii="仿宋_GB2312" w:hAnsi="仿宋_GB2312" w:eastAsia="仿宋_GB2312" w:cs="仿宋_GB2312"/>
          <w:sz w:val="28"/>
          <w:szCs w:val="28"/>
        </w:rPr>
        <w:t>将报价资料密封递交或邮寄至</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长沙市八一路60号 行政楼206办公室，收件人：陈得雨，电话：19873067189。</w:t>
      </w:r>
      <w:r>
        <w:rPr>
          <w:rFonts w:hint="eastAsia" w:ascii="仿宋_GB2312" w:hAnsi="仿宋_GB2312" w:eastAsia="仿宋_GB2312" w:cs="仿宋_GB2312"/>
          <w:sz w:val="28"/>
          <w:szCs w:val="28"/>
        </w:rPr>
        <w:t xml:space="preserve">                      </w:t>
      </w:r>
    </w:p>
    <w:p w14:paraId="12080FE5">
      <w:pPr>
        <w:keepNext w:val="0"/>
        <w:keepLines/>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rPr>
        <w:t>投标保证金：本工程为邀约</w:t>
      </w:r>
      <w:r>
        <w:rPr>
          <w:rFonts w:hint="eastAsia" w:ascii="仿宋_GB2312" w:hAnsi="仿宋_GB2312" w:eastAsia="仿宋_GB2312" w:cs="仿宋_GB2312"/>
          <w:sz w:val="28"/>
          <w:szCs w:val="28"/>
          <w:lang w:val="en-US" w:eastAsia="zh-CN"/>
        </w:rPr>
        <w:t>询价</w:t>
      </w:r>
      <w:r>
        <w:rPr>
          <w:rFonts w:hint="eastAsia" w:ascii="仿宋_GB2312" w:hAnsi="仿宋_GB2312" w:eastAsia="仿宋_GB2312" w:cs="仿宋_GB2312"/>
          <w:sz w:val="28"/>
          <w:szCs w:val="28"/>
        </w:rPr>
        <w:t>模式</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无需缴纳投标保证金</w:t>
      </w:r>
      <w:r>
        <w:rPr>
          <w:rFonts w:hint="eastAsia" w:ascii="仿宋_GB2312" w:hAnsi="仿宋_GB2312" w:eastAsia="仿宋_GB2312" w:cs="仿宋_GB2312"/>
          <w:sz w:val="28"/>
          <w:szCs w:val="28"/>
          <w:lang w:eastAsia="zh-CN"/>
        </w:rPr>
        <w:t>。</w:t>
      </w:r>
    </w:p>
    <w:p w14:paraId="500D68FA">
      <w:pPr>
        <w:keepNext w:val="0"/>
        <w:keepLines/>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3、开标时间：</w:t>
      </w:r>
      <w:r>
        <w:rPr>
          <w:rFonts w:hint="eastAsia" w:ascii="仿宋_GB2312" w:hAnsi="仿宋_GB2312" w:eastAsia="仿宋_GB2312" w:cs="仿宋_GB2312"/>
          <w:sz w:val="28"/>
          <w:szCs w:val="28"/>
          <w:u w:val="single"/>
          <w:lang w:val="en-US" w:eastAsia="zh-CN"/>
        </w:rPr>
        <w:t>2026年8月10日9点30分</w:t>
      </w:r>
      <w:r>
        <w:rPr>
          <w:rFonts w:hint="eastAsia" w:ascii="仿宋_GB2312" w:hAnsi="仿宋_GB2312" w:eastAsia="仿宋_GB2312" w:cs="仿宋_GB2312"/>
          <w:sz w:val="28"/>
          <w:szCs w:val="28"/>
          <w:lang w:val="en-US" w:eastAsia="zh-CN"/>
        </w:rPr>
        <w:t>。</w:t>
      </w:r>
    </w:p>
    <w:p w14:paraId="3397C47E">
      <w:pPr>
        <w:keepNext w:val="0"/>
        <w:keepLines/>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 xml:space="preserve">六 </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货物数量见下面表格</w:t>
      </w:r>
    </w:p>
    <w:p w14:paraId="58E0934D">
      <w:pPr>
        <w:keepNext w:val="0"/>
        <w:keepLines/>
        <w:pageBreakBefore w:val="0"/>
        <w:widowControl w:val="0"/>
        <w:kinsoku/>
        <w:wordWrap/>
        <w:overflowPunct/>
        <w:topLinePunct w:val="0"/>
        <w:autoSpaceDE/>
        <w:autoSpaceDN/>
        <w:bidi w:val="0"/>
        <w:adjustRightInd/>
        <w:snapToGrid/>
        <w:spacing w:line="360" w:lineRule="auto"/>
        <w:ind w:firstLine="560" w:firstLineChars="200"/>
        <w:jc w:val="center"/>
        <w:textAlignment w:val="auto"/>
        <w:rPr>
          <w:rFonts w:hint="eastAsia" w:ascii="仿宋_GB2312" w:hAnsi="仿宋_GB2312" w:eastAsia="仿宋_GB2312" w:cs="仿宋_GB2312"/>
          <w:sz w:val="28"/>
          <w:szCs w:val="28"/>
          <w:lang w:val="en-US" w:eastAsia="zh-CN"/>
        </w:rPr>
      </w:pPr>
    </w:p>
    <w:p w14:paraId="7C9D3482">
      <w:pPr>
        <w:keepNext w:val="0"/>
        <w:keepLines/>
        <w:pageBreakBefore w:val="0"/>
        <w:widowControl w:val="0"/>
        <w:kinsoku/>
        <w:wordWrap/>
        <w:overflowPunct/>
        <w:topLinePunct w:val="0"/>
        <w:autoSpaceDE/>
        <w:autoSpaceDN/>
        <w:bidi w:val="0"/>
        <w:adjustRightInd/>
        <w:snapToGrid/>
        <w:spacing w:line="360" w:lineRule="auto"/>
        <w:ind w:firstLine="560" w:firstLineChars="200"/>
        <w:jc w:val="center"/>
        <w:textAlignment w:val="auto"/>
        <w:rPr>
          <w:rFonts w:hint="eastAsia" w:ascii="仿宋_GB2312" w:hAnsi="仿宋_GB2312" w:eastAsia="仿宋_GB2312" w:cs="仿宋_GB2312"/>
          <w:sz w:val="28"/>
          <w:szCs w:val="28"/>
          <w:lang w:val="en-US" w:eastAsia="zh-CN"/>
        </w:rPr>
      </w:pPr>
    </w:p>
    <w:p w14:paraId="4159E325">
      <w:pPr>
        <w:keepNext w:val="0"/>
        <w:keepLines/>
        <w:pageBreakBefore w:val="0"/>
        <w:widowControl w:val="0"/>
        <w:kinsoku/>
        <w:wordWrap/>
        <w:overflowPunct/>
        <w:topLinePunct w:val="0"/>
        <w:autoSpaceDE/>
        <w:autoSpaceDN/>
        <w:bidi w:val="0"/>
        <w:adjustRightInd/>
        <w:snapToGrid/>
        <w:spacing w:line="360" w:lineRule="auto"/>
        <w:ind w:firstLine="560" w:firstLineChars="200"/>
        <w:jc w:val="center"/>
        <w:textAlignment w:val="auto"/>
        <w:rPr>
          <w:rFonts w:hint="eastAsia" w:ascii="仿宋_GB2312" w:hAnsi="仿宋_GB2312" w:eastAsia="仿宋_GB2312" w:cs="仿宋_GB2312"/>
          <w:sz w:val="28"/>
          <w:szCs w:val="28"/>
          <w:lang w:val="en-US" w:eastAsia="zh-CN"/>
        </w:rPr>
      </w:pPr>
    </w:p>
    <w:p w14:paraId="1A9F6206">
      <w:pPr>
        <w:keepNext w:val="0"/>
        <w:keepLines/>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b/>
          <w:bCs/>
          <w:sz w:val="32"/>
          <w:szCs w:val="32"/>
          <w:lang w:val="en-US" w:eastAsia="zh-CN"/>
        </w:rPr>
      </w:pPr>
    </w:p>
    <w:p w14:paraId="194A04ED">
      <w:pPr>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br w:type="page"/>
      </w:r>
    </w:p>
    <w:p w14:paraId="23A5642B">
      <w:pPr>
        <w:keepNext w:val="0"/>
        <w:keepLines/>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b/>
          <w:bCs/>
          <w:sz w:val="32"/>
          <w:szCs w:val="32"/>
          <w:lang w:val="en-US" w:eastAsia="zh-CN"/>
        </w:rPr>
        <w:t>资料柜</w:t>
      </w:r>
      <w:r>
        <w:rPr>
          <w:rFonts w:hint="eastAsia" w:ascii="仿宋_GB2312" w:hAnsi="仿宋_GB2312" w:eastAsia="仿宋_GB2312" w:cs="仿宋_GB2312"/>
          <w:b/>
          <w:bCs/>
          <w:sz w:val="32"/>
          <w:szCs w:val="32"/>
        </w:rPr>
        <w:t>清单</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sz w:val="32"/>
          <w:szCs w:val="32"/>
          <w:lang w:val="en-US" w:eastAsia="zh-CN"/>
        </w:rPr>
        <w:t>报价单</w:t>
      </w:r>
      <w:r>
        <w:rPr>
          <w:rFonts w:hint="eastAsia" w:ascii="仿宋_GB2312" w:hAnsi="仿宋_GB2312" w:eastAsia="仿宋_GB2312" w:cs="仿宋_GB2312"/>
          <w:b/>
          <w:bCs/>
          <w:sz w:val="32"/>
          <w:szCs w:val="32"/>
          <w:lang w:eastAsia="zh-CN"/>
        </w:rPr>
        <w:t>）</w:t>
      </w:r>
    </w:p>
    <w:tbl>
      <w:tblPr>
        <w:tblStyle w:val="3"/>
        <w:tblpPr w:leftFromText="180" w:rightFromText="180" w:vertAnchor="text" w:horzAnchor="page" w:tblpX="739" w:tblpY="431"/>
        <w:tblOverlap w:val="never"/>
        <w:tblW w:w="1057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70"/>
        <w:gridCol w:w="612"/>
        <w:gridCol w:w="1250"/>
        <w:gridCol w:w="738"/>
        <w:gridCol w:w="850"/>
        <w:gridCol w:w="3675"/>
        <w:gridCol w:w="2880"/>
      </w:tblGrid>
      <w:tr w14:paraId="63D538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10575" w:type="dxa"/>
            <w:gridSpan w:val="7"/>
            <w:tcBorders>
              <w:top w:val="single" w:color="000000" w:sz="4" w:space="0"/>
              <w:left w:val="single" w:color="000000" w:sz="4" w:space="0"/>
              <w:bottom w:val="single" w:color="000000" w:sz="4" w:space="0"/>
              <w:right w:val="single" w:color="000000" w:sz="4" w:space="0"/>
            </w:tcBorders>
            <w:shd w:val="clear" w:color="auto" w:fill="BDD7EE"/>
            <w:noWrap/>
            <w:vAlign w:val="center"/>
          </w:tcPr>
          <w:p w14:paraId="00212E10">
            <w:pPr>
              <w:keepNext w:val="0"/>
              <w:keepLines w:val="0"/>
              <w:widowControl/>
              <w:suppressLineNumbers w:val="0"/>
              <w:jc w:val="center"/>
              <w:textAlignment w:val="center"/>
              <w:rPr>
                <w:rFonts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会议桌方案</w:t>
            </w:r>
          </w:p>
        </w:tc>
      </w:tr>
      <w:tr w14:paraId="45FEE9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5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CD0166">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序号</w:t>
            </w:r>
          </w:p>
        </w:tc>
        <w:tc>
          <w:tcPr>
            <w:tcW w:w="6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8FC70D">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品名</w:t>
            </w:r>
          </w:p>
        </w:tc>
        <w:tc>
          <w:tcPr>
            <w:tcW w:w="12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74424F">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型号</w:t>
            </w:r>
          </w:p>
        </w:tc>
        <w:tc>
          <w:tcPr>
            <w:tcW w:w="7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E0A661">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数量</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C59B27">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单位</w:t>
            </w:r>
          </w:p>
        </w:tc>
        <w:tc>
          <w:tcPr>
            <w:tcW w:w="36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4705C3">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技术参数</w:t>
            </w:r>
          </w:p>
        </w:tc>
        <w:tc>
          <w:tcPr>
            <w:tcW w:w="28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5B1B84">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图片</w:t>
            </w:r>
          </w:p>
        </w:tc>
      </w:tr>
      <w:tr w14:paraId="74B3E7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10575" w:type="dxa"/>
            <w:gridSpan w:val="7"/>
            <w:tcBorders>
              <w:top w:val="single" w:color="000000" w:sz="4" w:space="0"/>
              <w:left w:val="single" w:color="000000" w:sz="4" w:space="0"/>
              <w:bottom w:val="single" w:color="000000" w:sz="4" w:space="0"/>
              <w:right w:val="single" w:color="000000" w:sz="4" w:space="0"/>
            </w:tcBorders>
            <w:shd w:val="clear" w:color="auto" w:fill="BDD7EE"/>
            <w:noWrap/>
            <w:vAlign w:val="center"/>
          </w:tcPr>
          <w:p w14:paraId="2204ED37">
            <w:pPr>
              <w:keepNext w:val="0"/>
              <w:keepLines w:val="0"/>
              <w:widowControl/>
              <w:suppressLineNumbers w:val="0"/>
              <w:jc w:val="left"/>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一、会议桌椅</w:t>
            </w:r>
          </w:p>
        </w:tc>
      </w:tr>
      <w:tr w14:paraId="3F94BF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0" w:hRule="atLeas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5257D">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23437">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定制会议桌</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1A402">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5500*2600*760</w:t>
            </w:r>
          </w:p>
        </w:tc>
        <w:tc>
          <w:tcPr>
            <w:tcW w:w="7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89269">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D2CE3">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张</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72547">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1，台面厚度80MM，宽2600为大板定制。                                                                                                                                    2、面材：采用进口AAA级0.6MM胡桃木皮贴面                                                                                                                                                                                                                                         3、基材：E1级中纤板，经防腐、防虫、防潮等处理，木材干燥至低于9%的含水率                                                                                                                                                                                 4、油漆：优质环保底漆和面漆，符合国家环保标准，表面硬度达2H级，甲醛释放量符合国标GB18580-2017                                                                                                                     5、五金：配件采用进口五金连接件，整体紧密、间隙细小且牢固                                                                                                                                                                                                                                                6、开孔孔位：数量和大小按麦克风、多功能线盒10个。                                                                                                        7、颜色：胡桃</w:t>
            </w:r>
          </w:p>
        </w:tc>
        <w:tc>
          <w:tcPr>
            <w:tcW w:w="28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2CBFBD9">
            <w:pPr>
              <w:keepNext w:val="0"/>
              <w:keepLines w:val="0"/>
              <w:widowControl/>
              <w:suppressLineNumbers w:val="0"/>
              <w:jc w:val="left"/>
              <w:textAlignment w:val="bottom"/>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126365</wp:posOffset>
                  </wp:positionH>
                  <wp:positionV relativeFrom="paragraph">
                    <wp:posOffset>660400</wp:posOffset>
                  </wp:positionV>
                  <wp:extent cx="1414145" cy="1310005"/>
                  <wp:effectExtent l="0" t="0" r="14605" b="4445"/>
                  <wp:wrapNone/>
                  <wp:docPr id="6" name="图片_3"/>
                  <wp:cNvGraphicFramePr/>
                  <a:graphic xmlns:a="http://schemas.openxmlformats.org/drawingml/2006/main">
                    <a:graphicData uri="http://schemas.openxmlformats.org/drawingml/2006/picture">
                      <pic:pic xmlns:pic="http://schemas.openxmlformats.org/drawingml/2006/picture">
                        <pic:nvPicPr>
                          <pic:cNvPr id="6" name="图片_3"/>
                          <pic:cNvPicPr/>
                        </pic:nvPicPr>
                        <pic:blipFill>
                          <a:blip r:embed="rId10"/>
                          <a:stretch>
                            <a:fillRect/>
                          </a:stretch>
                        </pic:blipFill>
                        <pic:spPr>
                          <a:xfrm>
                            <a:off x="0" y="0"/>
                            <a:ext cx="1414145" cy="1310005"/>
                          </a:xfrm>
                          <a:prstGeom prst="rect">
                            <a:avLst/>
                          </a:prstGeom>
                          <a:noFill/>
                          <a:ln>
                            <a:noFill/>
                          </a:ln>
                        </pic:spPr>
                      </pic:pic>
                    </a:graphicData>
                  </a:graphic>
                </wp:anchor>
              </w:drawing>
            </w:r>
          </w:p>
        </w:tc>
      </w:tr>
      <w:tr w14:paraId="5CBFE2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80" w:hRule="atLeas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2DEFB">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5A0A0">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会议椅</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87D3F">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常规</w:t>
            </w:r>
          </w:p>
        </w:tc>
        <w:tc>
          <w:tcPr>
            <w:tcW w:w="7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9E6D8">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23</w:t>
            </w: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7E442">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张</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B32A7">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1、靠背：多层实木板。                         2、海绵：40≥度高回弹海绵。                  3、饰面：优质布面或麻绒饰面。                      4、底盘：高级双功能底盘，三级电镀气杆+5星铝合金脚架+电镀卡簧PU静音固定脚。</w:t>
            </w:r>
          </w:p>
        </w:tc>
        <w:tc>
          <w:tcPr>
            <w:tcW w:w="28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37037D6">
            <w:pPr>
              <w:keepNext w:val="0"/>
              <w:keepLines w:val="0"/>
              <w:widowControl/>
              <w:suppressLineNumbers w:val="0"/>
              <w:jc w:val="left"/>
              <w:textAlignment w:val="bottom"/>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615950</wp:posOffset>
                  </wp:positionH>
                  <wp:positionV relativeFrom="paragraph">
                    <wp:posOffset>93345</wp:posOffset>
                  </wp:positionV>
                  <wp:extent cx="694690" cy="1021080"/>
                  <wp:effectExtent l="0" t="0" r="10160" b="7620"/>
                  <wp:wrapNone/>
                  <wp:docPr id="5" name="图片_6"/>
                  <wp:cNvGraphicFramePr/>
                  <a:graphic xmlns:a="http://schemas.openxmlformats.org/drawingml/2006/main">
                    <a:graphicData uri="http://schemas.openxmlformats.org/drawingml/2006/picture">
                      <pic:pic xmlns:pic="http://schemas.openxmlformats.org/drawingml/2006/picture">
                        <pic:nvPicPr>
                          <pic:cNvPr id="5" name="图片_6"/>
                          <pic:cNvPicPr/>
                        </pic:nvPicPr>
                        <pic:blipFill>
                          <a:blip r:embed="rId11"/>
                          <a:stretch>
                            <a:fillRect/>
                          </a:stretch>
                        </pic:blipFill>
                        <pic:spPr>
                          <a:xfrm>
                            <a:off x="0" y="0"/>
                            <a:ext cx="694690" cy="1021080"/>
                          </a:xfrm>
                          <a:prstGeom prst="rect">
                            <a:avLst/>
                          </a:prstGeom>
                          <a:noFill/>
                          <a:ln>
                            <a:noFill/>
                          </a:ln>
                        </pic:spPr>
                      </pic:pic>
                    </a:graphicData>
                  </a:graphic>
                </wp:anchor>
              </w:drawing>
            </w:r>
          </w:p>
        </w:tc>
      </w:tr>
      <w:tr w14:paraId="250B2F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60" w:hRule="atLeas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3C001">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w:t>
            </w: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A5E43">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定制记录桌</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BFA9B">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2100*400*760</w:t>
            </w:r>
          </w:p>
        </w:tc>
        <w:tc>
          <w:tcPr>
            <w:tcW w:w="7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738DC">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F76D8">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张</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DF0DA">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1、面材：采用进口AAA级0.6MM胡桃木皮贴面                                                                                                                                                                                                                                         2、基材：E1级中纤板，经防腐、防虫、防潮等处理，木材干燥至低于9%的含水率 。                                                                                                                                                                                 3、油漆：优质环保底漆和面漆，符合国家环保标准，表面硬度达2H级，甲醛释放量符合国标GB18580-2017                                                                                                                     4、五金：配件采用进口五金连接件，整体紧密、间隙细小且牢固                                                                                                                                                                                                                                5、颜色：胡桃</w:t>
            </w:r>
          </w:p>
        </w:tc>
        <w:tc>
          <w:tcPr>
            <w:tcW w:w="28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735ACF0">
            <w:pPr>
              <w:keepNext w:val="0"/>
              <w:keepLines w:val="0"/>
              <w:widowControl/>
              <w:suppressLineNumbers w:val="0"/>
              <w:jc w:val="left"/>
              <w:textAlignment w:val="bottom"/>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391795</wp:posOffset>
                  </wp:positionH>
                  <wp:positionV relativeFrom="paragraph">
                    <wp:posOffset>380365</wp:posOffset>
                  </wp:positionV>
                  <wp:extent cx="1052195" cy="1245870"/>
                  <wp:effectExtent l="0" t="0" r="14605" b="11430"/>
                  <wp:wrapNone/>
                  <wp:docPr id="1" name="图片_10"/>
                  <wp:cNvGraphicFramePr/>
                  <a:graphic xmlns:a="http://schemas.openxmlformats.org/drawingml/2006/main">
                    <a:graphicData uri="http://schemas.openxmlformats.org/drawingml/2006/picture">
                      <pic:pic xmlns:pic="http://schemas.openxmlformats.org/drawingml/2006/picture">
                        <pic:nvPicPr>
                          <pic:cNvPr id="1" name="图片_10"/>
                          <pic:cNvPicPr/>
                        </pic:nvPicPr>
                        <pic:blipFill>
                          <a:blip r:embed="rId12"/>
                          <a:stretch>
                            <a:fillRect/>
                          </a:stretch>
                        </pic:blipFill>
                        <pic:spPr>
                          <a:xfrm>
                            <a:off x="0" y="0"/>
                            <a:ext cx="1052195" cy="1245870"/>
                          </a:xfrm>
                          <a:prstGeom prst="rect">
                            <a:avLst/>
                          </a:prstGeom>
                          <a:noFill/>
                          <a:ln>
                            <a:noFill/>
                          </a:ln>
                        </pic:spPr>
                      </pic:pic>
                    </a:graphicData>
                  </a:graphic>
                </wp:anchor>
              </w:drawing>
            </w:r>
          </w:p>
        </w:tc>
      </w:tr>
      <w:tr w14:paraId="468194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40" w:hRule="atLeas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C70E0">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w:t>
            </w: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B8AFD">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定制储物柜</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9DF76">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1780*630*2480</w:t>
            </w:r>
          </w:p>
        </w:tc>
        <w:tc>
          <w:tcPr>
            <w:tcW w:w="7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AF948">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F8C53">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组</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7C2BF">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1、面材：采用进口AAA级0.6MM胡桃木皮贴面                                                                                                                                                                                                                                         2、基材：E1级中纤板，经防腐、防虫、防潮等处理，木材干燥至低于9%的含水率 。                                                                                                                                                                                 3、油漆：优质环保底漆和面漆，符合国家环保标准，表面硬度达2H级，甲醛释放量符合国标GB18580-2017                                                                                                                     4、五金：配件采用进口五金连接件，整体紧密、间隙细小且牢固                                                                                                                                                                                                                                5、颜色：胡桃</w:t>
            </w:r>
          </w:p>
        </w:tc>
        <w:tc>
          <w:tcPr>
            <w:tcW w:w="28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C4B9878">
            <w:pPr>
              <w:keepNext w:val="0"/>
              <w:keepLines w:val="0"/>
              <w:widowControl/>
              <w:suppressLineNumbers w:val="0"/>
              <w:jc w:val="left"/>
              <w:textAlignment w:val="bottom"/>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271780</wp:posOffset>
                  </wp:positionH>
                  <wp:positionV relativeFrom="paragraph">
                    <wp:posOffset>142875</wp:posOffset>
                  </wp:positionV>
                  <wp:extent cx="1175385" cy="1454150"/>
                  <wp:effectExtent l="0" t="0" r="5715" b="12700"/>
                  <wp:wrapNone/>
                  <wp:docPr id="4" name="图片_9"/>
                  <wp:cNvGraphicFramePr/>
                  <a:graphic xmlns:a="http://schemas.openxmlformats.org/drawingml/2006/main">
                    <a:graphicData uri="http://schemas.openxmlformats.org/drawingml/2006/picture">
                      <pic:pic xmlns:pic="http://schemas.openxmlformats.org/drawingml/2006/picture">
                        <pic:nvPicPr>
                          <pic:cNvPr id="4" name="图片_9"/>
                          <pic:cNvPicPr/>
                        </pic:nvPicPr>
                        <pic:blipFill>
                          <a:blip r:embed="rId13"/>
                          <a:stretch>
                            <a:fillRect/>
                          </a:stretch>
                        </pic:blipFill>
                        <pic:spPr>
                          <a:xfrm>
                            <a:off x="0" y="0"/>
                            <a:ext cx="1175385" cy="1454150"/>
                          </a:xfrm>
                          <a:prstGeom prst="rect">
                            <a:avLst/>
                          </a:prstGeom>
                          <a:noFill/>
                          <a:ln>
                            <a:noFill/>
                          </a:ln>
                        </pic:spPr>
                      </pic:pic>
                    </a:graphicData>
                  </a:graphic>
                </wp:anchor>
              </w:drawing>
            </w:r>
          </w:p>
        </w:tc>
      </w:tr>
      <w:tr w14:paraId="61B27A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20" w:hRule="atLeas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2575B">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w:t>
            </w: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1DEC7">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定制荣誉柜</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086F0">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3270*360*2480</w:t>
            </w:r>
          </w:p>
        </w:tc>
        <w:tc>
          <w:tcPr>
            <w:tcW w:w="7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537E3">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F3889">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组</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059E4">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1、面材：采用进口AAA级0.6MM胡桃木皮贴面                                                                                                                                                                                                                                         2、基材：E1级中纤板，经防腐、防虫、防潮等处理，木材干燥至低于9%的含水率 。                                                                                                                                                                                 3、油漆：优质环保底漆和面漆，符合国家环保标准，表面硬度达2H级，甲醛释放量符合国标GB18580-2017                                                                                                                     4、五金：配件采用进口五金连接件，整体紧密、间隙细小且牢固                                                                                                                                                                                                                                5、颜色：胡桃</w:t>
            </w:r>
          </w:p>
        </w:tc>
        <w:tc>
          <w:tcPr>
            <w:tcW w:w="28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460E8A1">
            <w:pP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26035</wp:posOffset>
                  </wp:positionH>
                  <wp:positionV relativeFrom="paragraph">
                    <wp:posOffset>346075</wp:posOffset>
                  </wp:positionV>
                  <wp:extent cx="1624965" cy="1437640"/>
                  <wp:effectExtent l="0" t="0" r="13335" b="10160"/>
                  <wp:wrapNone/>
                  <wp:docPr id="3" name="图片_8"/>
                  <wp:cNvGraphicFramePr/>
                  <a:graphic xmlns:a="http://schemas.openxmlformats.org/drawingml/2006/main">
                    <a:graphicData uri="http://schemas.openxmlformats.org/drawingml/2006/picture">
                      <pic:pic xmlns:pic="http://schemas.openxmlformats.org/drawingml/2006/picture">
                        <pic:nvPicPr>
                          <pic:cNvPr id="3" name="图片_8"/>
                          <pic:cNvPicPr/>
                        </pic:nvPicPr>
                        <pic:blipFill>
                          <a:blip r:embed="rId14"/>
                          <a:stretch>
                            <a:fillRect/>
                          </a:stretch>
                        </pic:blipFill>
                        <pic:spPr>
                          <a:xfrm>
                            <a:off x="0" y="0"/>
                            <a:ext cx="1624965" cy="1437640"/>
                          </a:xfrm>
                          <a:prstGeom prst="rect">
                            <a:avLst/>
                          </a:prstGeom>
                          <a:noFill/>
                          <a:ln>
                            <a:noFill/>
                          </a:ln>
                        </pic:spPr>
                      </pic:pic>
                    </a:graphicData>
                  </a:graphic>
                </wp:anchor>
              </w:drawing>
            </w:r>
          </w:p>
        </w:tc>
      </w:tr>
      <w:tr w14:paraId="3328FA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0" w:hRule="atLeas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9113F">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6</w:t>
            </w: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FBEAE">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定制茶水台</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38273">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1180*590*850</w:t>
            </w:r>
          </w:p>
        </w:tc>
        <w:tc>
          <w:tcPr>
            <w:tcW w:w="7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A254B">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5DDFE">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组</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BE34F">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2428875</wp:posOffset>
                  </wp:positionH>
                  <wp:positionV relativeFrom="paragraph">
                    <wp:posOffset>184785</wp:posOffset>
                  </wp:positionV>
                  <wp:extent cx="1477010" cy="1315085"/>
                  <wp:effectExtent l="0" t="0" r="8890" b="18415"/>
                  <wp:wrapNone/>
                  <wp:docPr id="2" name="图片_1"/>
                  <wp:cNvGraphicFramePr/>
                  <a:graphic xmlns:a="http://schemas.openxmlformats.org/drawingml/2006/main">
                    <a:graphicData uri="http://schemas.openxmlformats.org/drawingml/2006/picture">
                      <pic:pic xmlns:pic="http://schemas.openxmlformats.org/drawingml/2006/picture">
                        <pic:nvPicPr>
                          <pic:cNvPr id="2" name="图片_1"/>
                          <pic:cNvPicPr/>
                        </pic:nvPicPr>
                        <pic:blipFill>
                          <a:blip r:embed="rId15"/>
                          <a:stretch>
                            <a:fillRect/>
                          </a:stretch>
                        </pic:blipFill>
                        <pic:spPr>
                          <a:xfrm>
                            <a:off x="0" y="0"/>
                            <a:ext cx="1477010" cy="1315085"/>
                          </a:xfrm>
                          <a:prstGeom prst="rect">
                            <a:avLst/>
                          </a:prstGeom>
                          <a:noFill/>
                          <a:ln>
                            <a:noFill/>
                          </a:ln>
                        </pic:spPr>
                      </pic:pic>
                    </a:graphicData>
                  </a:graphic>
                </wp:anchor>
              </w:drawing>
            </w:r>
            <w:r>
              <w:rPr>
                <w:rFonts w:hint="eastAsia" w:ascii="仿宋" w:hAnsi="仿宋" w:eastAsia="仿宋" w:cs="仿宋"/>
                <w:i w:val="0"/>
                <w:iCs w:val="0"/>
                <w:color w:val="000000"/>
                <w:kern w:val="0"/>
                <w:sz w:val="21"/>
                <w:szCs w:val="21"/>
                <w:u w:val="none"/>
                <w:lang w:val="en-US" w:eastAsia="zh-CN" w:bidi="ar"/>
              </w:rPr>
              <w:t>1、台面：人造石材台面或陶瓷成型台面，带挡水边。                                                                                                                                                                                                                                        2、基材：符合国家标准环保板材，经防腐、防虫、防潮等处理，木材干燥至低于9%的含水率。                                                                                                                                                                                                                                                                                                   3、五金：带洗漱盆及下水配件，配件采用进口五金连接件，整体紧密、间隙细小且牢固                                                                                                                                                                                                                                4、颜色：胡桃</w:t>
            </w:r>
          </w:p>
        </w:tc>
        <w:tc>
          <w:tcPr>
            <w:tcW w:w="28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4C042A2">
            <w:pPr>
              <w:keepNext w:val="0"/>
              <w:keepLines w:val="0"/>
              <w:widowControl/>
              <w:suppressLineNumbers w:val="0"/>
              <w:jc w:val="left"/>
              <w:textAlignment w:val="bottom"/>
              <w:rPr>
                <w:rFonts w:hint="eastAsia" w:ascii="仿宋" w:hAnsi="仿宋" w:eastAsia="仿宋" w:cs="仿宋"/>
                <w:i w:val="0"/>
                <w:iCs w:val="0"/>
                <w:color w:val="000000"/>
                <w:sz w:val="21"/>
                <w:szCs w:val="21"/>
                <w:u w:val="none"/>
              </w:rPr>
            </w:pPr>
          </w:p>
        </w:tc>
      </w:tr>
      <w:tr w14:paraId="4651D9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0" w:hRule="atLeas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0334B">
            <w:pPr>
              <w:rPr>
                <w:rFonts w:hint="eastAsia" w:ascii="宋体" w:hAnsi="宋体" w:eastAsia="宋体" w:cs="宋体"/>
                <w:i w:val="0"/>
                <w:iCs w:val="0"/>
                <w:color w:val="000000"/>
                <w:sz w:val="21"/>
                <w:szCs w:val="21"/>
                <w:u w:val="none"/>
              </w:rPr>
            </w:pPr>
          </w:p>
        </w:tc>
        <w:tc>
          <w:tcPr>
            <w:tcW w:w="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4ACD2">
            <w:pPr>
              <w:rPr>
                <w:rFonts w:hint="eastAsia" w:ascii="宋体" w:hAnsi="宋体" w:eastAsia="宋体" w:cs="宋体"/>
                <w:i w:val="0"/>
                <w:iCs w:val="0"/>
                <w:color w:val="000000"/>
                <w:sz w:val="21"/>
                <w:szCs w:val="21"/>
                <w:u w:val="none"/>
              </w:rPr>
            </w:pPr>
          </w:p>
        </w:tc>
        <w:tc>
          <w:tcPr>
            <w:tcW w:w="1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B3DFC">
            <w:pPr>
              <w:rPr>
                <w:rFonts w:hint="eastAsia" w:ascii="宋体" w:hAnsi="宋体" w:eastAsia="宋体" w:cs="宋体"/>
                <w:i w:val="0"/>
                <w:iCs w:val="0"/>
                <w:color w:val="000000"/>
                <w:sz w:val="21"/>
                <w:szCs w:val="21"/>
                <w:u w:val="none"/>
              </w:rPr>
            </w:pPr>
          </w:p>
        </w:tc>
        <w:tc>
          <w:tcPr>
            <w:tcW w:w="7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309BC">
            <w:pPr>
              <w:rPr>
                <w:rFonts w:hint="eastAsia" w:ascii="宋体" w:hAnsi="宋体" w:eastAsia="宋体" w:cs="宋体"/>
                <w:i w:val="0"/>
                <w:iCs w:val="0"/>
                <w:color w:val="000000"/>
                <w:sz w:val="21"/>
                <w:szCs w:val="21"/>
                <w:u w:val="none"/>
              </w:rPr>
            </w:pP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159644">
            <w:pPr>
              <w:rPr>
                <w:rFonts w:hint="eastAsia" w:ascii="宋体" w:hAnsi="宋体" w:eastAsia="宋体" w:cs="宋体"/>
                <w:i w:val="0"/>
                <w:iCs w:val="0"/>
                <w:color w:val="000000"/>
                <w:sz w:val="21"/>
                <w:szCs w:val="21"/>
                <w:u w:val="none"/>
              </w:rPr>
            </w:pPr>
          </w:p>
        </w:tc>
        <w:tc>
          <w:tcPr>
            <w:tcW w:w="3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C4C13">
            <w:pPr>
              <w:rPr>
                <w:rFonts w:hint="eastAsia" w:ascii="宋体" w:hAnsi="宋体" w:eastAsia="宋体" w:cs="宋体"/>
                <w:i w:val="0"/>
                <w:iCs w:val="0"/>
                <w:color w:val="000000"/>
                <w:sz w:val="21"/>
                <w:szCs w:val="21"/>
                <w:u w:val="none"/>
              </w:rPr>
            </w:pPr>
          </w:p>
        </w:tc>
        <w:tc>
          <w:tcPr>
            <w:tcW w:w="2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CC945">
            <w:pPr>
              <w:rPr>
                <w:rFonts w:hint="eastAsia" w:ascii="宋体" w:hAnsi="宋体" w:eastAsia="宋体" w:cs="宋体"/>
                <w:i w:val="0"/>
                <w:iCs w:val="0"/>
                <w:color w:val="000000"/>
                <w:sz w:val="21"/>
                <w:szCs w:val="21"/>
                <w:u w:val="none"/>
              </w:rPr>
            </w:pPr>
          </w:p>
        </w:tc>
      </w:tr>
    </w:tbl>
    <w:p w14:paraId="56D50975">
      <w:pPr>
        <w:pStyle w:val="2"/>
        <w:rPr>
          <w:rFonts w:hint="eastAsia"/>
        </w:rPr>
        <w:sectPr>
          <w:headerReference r:id="rId5" w:type="default"/>
          <w:footerReference r:id="rId6" w:type="default"/>
          <w:pgSz w:w="11900" w:h="16820" w:orient="landscape"/>
          <w:pgMar w:top="1134" w:right="1134" w:bottom="1134" w:left="1134" w:header="1140" w:footer="1140" w:gutter="0"/>
          <w:cols w:space="720" w:num="1"/>
        </w:sectPr>
      </w:pPr>
    </w:p>
    <w:p w14:paraId="7EC17D41">
      <w:pPr>
        <w:keepNext w:val="0"/>
        <w:keepLines/>
        <w:pageBreakBefore w:val="0"/>
        <w:widowControl w:val="0"/>
        <w:kinsoku/>
        <w:wordWrap/>
        <w:overflowPunct/>
        <w:topLinePunct w:val="0"/>
        <w:autoSpaceDE/>
        <w:autoSpaceDN/>
        <w:bidi w:val="0"/>
        <w:adjustRightInd/>
        <w:snapToGrid/>
        <w:jc w:val="both"/>
        <w:textAlignment w:val="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lang w:val="en-US" w:eastAsia="zh-CN"/>
        </w:rPr>
        <w:t>七、货物</w:t>
      </w:r>
      <w:r>
        <w:rPr>
          <w:rFonts w:hint="eastAsia" w:ascii="仿宋_GB2312" w:hAnsi="仿宋_GB2312" w:eastAsia="仿宋_GB2312" w:cs="仿宋_GB2312"/>
          <w:sz w:val="28"/>
          <w:szCs w:val="28"/>
        </w:rPr>
        <w:t>质量要求及售后</w:t>
      </w:r>
    </w:p>
    <w:p w14:paraId="4C7B97D4">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1提供的产品须为原厂原装正品，符合国家质量标准。</w:t>
      </w:r>
    </w:p>
    <w:p w14:paraId="384286ED">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rPr>
        <w:t>安全与文明施工</w:t>
      </w:r>
    </w:p>
    <w:p w14:paraId="202E7BA7">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作业人员须佩戴安全帽并设定监护人。</w:t>
      </w:r>
    </w:p>
    <w:p w14:paraId="642998F5">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每日场清</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废料</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按</w:t>
      </w:r>
      <w:r>
        <w:rPr>
          <w:rFonts w:hint="eastAsia" w:ascii="仿宋_GB2312" w:hAnsi="仿宋_GB2312" w:eastAsia="仿宋_GB2312" w:cs="仿宋_GB2312"/>
          <w:sz w:val="28"/>
          <w:szCs w:val="28"/>
        </w:rPr>
        <w:t>环保要求分类回收</w:t>
      </w:r>
    </w:p>
    <w:p w14:paraId="2A936247">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rPr>
        <w:t>售后服务承诺</w:t>
      </w:r>
    </w:p>
    <w:p w14:paraId="2063FB1A">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质保期承诺、本</w:t>
      </w:r>
      <w:r>
        <w:rPr>
          <w:rFonts w:hint="eastAsia" w:ascii="仿宋_GB2312" w:hAnsi="仿宋_GB2312" w:eastAsia="仿宋_GB2312" w:cs="仿宋_GB2312"/>
          <w:sz w:val="28"/>
          <w:szCs w:val="28"/>
          <w:lang w:val="en-US" w:eastAsia="zh-CN"/>
        </w:rPr>
        <w:t>货物</w:t>
      </w:r>
      <w:r>
        <w:rPr>
          <w:rFonts w:hint="eastAsia" w:ascii="仿宋_GB2312" w:hAnsi="仿宋_GB2312" w:eastAsia="仿宋_GB2312" w:cs="仿宋_GB2312"/>
          <w:sz w:val="28"/>
          <w:szCs w:val="28"/>
        </w:rPr>
        <w:t>整体质保期为</w:t>
      </w:r>
      <w:r>
        <w:rPr>
          <w:rFonts w:hint="eastAsia" w:ascii="仿宋_GB2312" w:hAnsi="仿宋_GB2312" w:eastAsia="仿宋_GB2312" w:cs="仿宋_GB2312"/>
          <w:sz w:val="28"/>
          <w:szCs w:val="28"/>
          <w:u w:val="single"/>
          <w:lang w:val="en-US" w:eastAsia="zh-CN"/>
        </w:rPr>
        <w:t>36</w:t>
      </w:r>
      <w:r>
        <w:rPr>
          <w:rFonts w:hint="eastAsia" w:ascii="仿宋_GB2312" w:hAnsi="仿宋_GB2312" w:eastAsia="仿宋_GB2312" w:cs="仿宋_GB2312"/>
          <w:sz w:val="28"/>
          <w:szCs w:val="28"/>
        </w:rPr>
        <w:t>个月（自</w:t>
      </w:r>
      <w:r>
        <w:rPr>
          <w:rFonts w:hint="eastAsia" w:ascii="仿宋_GB2312" w:hAnsi="仿宋_GB2312" w:eastAsia="仿宋_GB2312" w:cs="仿宋_GB2312"/>
          <w:sz w:val="28"/>
          <w:szCs w:val="28"/>
          <w:lang w:val="en-US" w:eastAsia="zh-CN"/>
        </w:rPr>
        <w:t>项目</w:t>
      </w:r>
      <w:r>
        <w:rPr>
          <w:rFonts w:hint="eastAsia" w:ascii="仿宋_GB2312" w:hAnsi="仿宋_GB2312" w:eastAsia="仿宋_GB2312" w:cs="仿宋_GB2312"/>
          <w:sz w:val="28"/>
          <w:szCs w:val="28"/>
        </w:rPr>
        <w:t>验收合格之日起计算）质保期内，非人为损坏的质量问题提供免费维修、更换服务。</w:t>
      </w:r>
    </w:p>
    <w:p w14:paraId="1545BD75">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响应时间：质保期内，</w:t>
      </w:r>
      <w:r>
        <w:rPr>
          <w:rFonts w:hint="eastAsia" w:ascii="仿宋_GB2312" w:hAnsi="仿宋_GB2312" w:eastAsia="仿宋_GB2312" w:cs="仿宋_GB2312"/>
          <w:sz w:val="28"/>
          <w:szCs w:val="28"/>
          <w:lang w:eastAsia="zh-CN"/>
        </w:rPr>
        <w:t>服务</w:t>
      </w:r>
      <w:r>
        <w:rPr>
          <w:rFonts w:hint="eastAsia" w:ascii="仿宋_GB2312" w:hAnsi="仿宋_GB2312" w:eastAsia="仿宋_GB2312" w:cs="仿宋_GB2312"/>
          <w:sz w:val="28"/>
          <w:szCs w:val="28"/>
        </w:rPr>
        <w:t>须在4小时内响应，24小时内上门处理</w:t>
      </w:r>
      <w:r>
        <w:rPr>
          <w:rFonts w:hint="eastAsia" w:ascii="仿宋_GB2312" w:hAnsi="仿宋_GB2312" w:eastAsia="仿宋_GB2312" w:cs="仿宋_GB2312"/>
          <w:sz w:val="28"/>
          <w:szCs w:val="28"/>
          <w:lang w:eastAsia="zh-CN"/>
        </w:rPr>
        <w:t>。</w:t>
      </w:r>
    </w:p>
    <w:p w14:paraId="3B8368C9">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lang w:eastAsia="zh-CN"/>
        </w:rPr>
      </w:pPr>
    </w:p>
    <w:p w14:paraId="016181B9">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lang w:eastAsia="zh-CN"/>
        </w:rPr>
      </w:pPr>
    </w:p>
    <w:p w14:paraId="52FFC75C">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lang w:eastAsia="zh-CN"/>
        </w:rPr>
      </w:pPr>
    </w:p>
    <w:p w14:paraId="24D8DBD7">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lang w:eastAsia="zh-CN"/>
        </w:rPr>
      </w:pPr>
    </w:p>
    <w:p w14:paraId="12ECBC6D">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lang w:eastAsia="zh-CN"/>
        </w:rPr>
      </w:pPr>
    </w:p>
    <w:p w14:paraId="7918F0C3">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lang w:eastAsia="zh-CN"/>
        </w:rPr>
      </w:pPr>
    </w:p>
    <w:p w14:paraId="34D59CCA">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lang w:eastAsia="zh-CN"/>
        </w:rPr>
      </w:pPr>
    </w:p>
    <w:p w14:paraId="7A74653A">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lang w:eastAsia="zh-CN"/>
        </w:rPr>
      </w:pPr>
    </w:p>
    <w:p w14:paraId="741F678A">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lang w:eastAsia="zh-CN"/>
        </w:rPr>
      </w:pPr>
    </w:p>
    <w:p w14:paraId="60DE0306">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lang w:eastAsia="zh-CN"/>
        </w:rPr>
      </w:pPr>
    </w:p>
    <w:p w14:paraId="30AA7DA6">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lang w:eastAsia="zh-CN"/>
        </w:rPr>
      </w:pPr>
    </w:p>
    <w:p w14:paraId="09B5E42D">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lang w:eastAsia="zh-CN"/>
        </w:rPr>
      </w:pPr>
    </w:p>
    <w:p w14:paraId="3D7810C3">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lang w:eastAsia="zh-CN"/>
        </w:rPr>
      </w:pPr>
    </w:p>
    <w:p w14:paraId="261C564C">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lang w:eastAsia="zh-CN"/>
        </w:rPr>
      </w:pPr>
    </w:p>
    <w:p w14:paraId="50F604A9">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lang w:eastAsia="zh-CN"/>
        </w:rPr>
      </w:pPr>
    </w:p>
    <w:p w14:paraId="4F8591F6">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lang w:eastAsia="zh-CN"/>
        </w:rPr>
      </w:pPr>
    </w:p>
    <w:p w14:paraId="7E9DCB77">
      <w:pPr>
        <w:jc w:val="center"/>
        <w:rPr>
          <w:rFonts w:hint="eastAsia" w:ascii="Times New Roman" w:hAnsi="Times New Roman" w:eastAsia="黑体" w:cs="Times New Roman"/>
          <w:b/>
          <w:bCs/>
          <w:sz w:val="44"/>
        </w:rPr>
      </w:pPr>
      <w:bookmarkStart w:id="1" w:name="OLE_LINK2"/>
      <w:r>
        <w:rPr>
          <w:rFonts w:hint="eastAsia" w:eastAsia="黑体" w:cs="Times New Roman"/>
          <w:b w:val="0"/>
          <w:bCs w:val="0"/>
          <w:sz w:val="44"/>
          <w:u w:val="single"/>
          <w:lang w:val="en-US" w:eastAsia="zh-CN"/>
        </w:rPr>
        <w:t>党委会议室家具询价</w:t>
      </w:r>
      <w:r>
        <w:rPr>
          <w:rFonts w:hint="eastAsia" w:eastAsia="黑体" w:cs="Times New Roman"/>
          <w:b w:val="0"/>
          <w:bCs w:val="0"/>
          <w:sz w:val="44"/>
          <w:u w:val="none"/>
          <w:lang w:val="en-US" w:eastAsia="zh-CN"/>
        </w:rPr>
        <w:t>项目</w:t>
      </w:r>
      <w:bookmarkEnd w:id="1"/>
      <w:r>
        <w:rPr>
          <w:rFonts w:hint="eastAsia" w:eastAsia="黑体" w:cs="Times New Roman"/>
          <w:b/>
          <w:bCs/>
          <w:sz w:val="44"/>
          <w:lang w:val="en-US" w:eastAsia="zh-CN"/>
        </w:rPr>
        <w:t>询价</w:t>
      </w:r>
      <w:r>
        <w:rPr>
          <w:rFonts w:hint="eastAsia" w:ascii="Times New Roman" w:hAnsi="Times New Roman" w:eastAsia="黑体" w:cs="Times New Roman"/>
          <w:b/>
          <w:bCs/>
          <w:sz w:val="44"/>
        </w:rPr>
        <w:t>投标</w:t>
      </w:r>
    </w:p>
    <w:p w14:paraId="0F91774B">
      <w:pPr>
        <w:jc w:val="center"/>
        <w:rPr>
          <w:rFonts w:hint="eastAsia" w:ascii="Times New Roman" w:hAnsi="Times New Roman" w:eastAsia="黑体" w:cs="Times New Roman"/>
          <w:b/>
          <w:bCs/>
          <w:sz w:val="44"/>
        </w:rPr>
      </w:pPr>
      <w:r>
        <w:rPr>
          <w:rFonts w:hint="eastAsia" w:ascii="Times New Roman" w:hAnsi="Times New Roman" w:eastAsia="黑体" w:cs="Times New Roman"/>
          <w:b/>
          <w:bCs/>
          <w:sz w:val="44"/>
        </w:rPr>
        <w:t>报价</w:t>
      </w:r>
      <w:r>
        <w:rPr>
          <w:rFonts w:hint="eastAsia" w:eastAsia="黑体" w:cs="Times New Roman"/>
          <w:b/>
          <w:bCs/>
          <w:sz w:val="44"/>
          <w:lang w:val="en-US" w:eastAsia="zh-CN"/>
        </w:rPr>
        <w:t>情况报告</w:t>
      </w:r>
      <w:r>
        <w:rPr>
          <w:rFonts w:hint="eastAsia" w:ascii="Times New Roman" w:hAnsi="Times New Roman" w:eastAsia="黑体" w:cs="Times New Roman"/>
          <w:b/>
          <w:bCs/>
          <w:sz w:val="44"/>
        </w:rPr>
        <w:t>表</w:t>
      </w:r>
    </w:p>
    <w:p w14:paraId="17FCBB15">
      <w:pPr>
        <w:rPr>
          <w:rFonts w:hint="eastAsia" w:ascii="仿宋_GB2312" w:hAnsi="仿宋_GB2312" w:eastAsia="仿宋_GB2312" w:cs="仿宋_GB2312"/>
          <w:sz w:val="32"/>
          <w:szCs w:val="32"/>
          <w:lang w:val="en-US" w:eastAsia="zh-CN"/>
        </w:rPr>
      </w:pPr>
    </w:p>
    <w:p w14:paraId="4891CA44">
      <w:pP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项目名称：党委会议室家具询价项目</w:t>
      </w:r>
    </w:p>
    <w:tbl>
      <w:tblPr>
        <w:tblStyle w:val="3"/>
        <w:tblW w:w="464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57"/>
        <w:gridCol w:w="3961"/>
        <w:gridCol w:w="1990"/>
      </w:tblGrid>
      <w:tr w14:paraId="1FBFB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18" w:hRule="atLeast"/>
          <w:jc w:val="center"/>
        </w:trPr>
        <w:tc>
          <w:tcPr>
            <w:tcW w:w="1237" w:type="pct"/>
            <w:noWrap w:val="0"/>
            <w:vAlign w:val="center"/>
          </w:tcPr>
          <w:p w14:paraId="6B196598">
            <w:pPr>
              <w:jc w:val="center"/>
              <w:rPr>
                <w:rFonts w:hint="eastAsia" w:ascii="宋体" w:hAnsi="宋体" w:eastAsia="宋体" w:cs="Times New Roman"/>
                <w:sz w:val="24"/>
              </w:rPr>
            </w:pPr>
            <w:r>
              <w:rPr>
                <w:rFonts w:hint="eastAsia" w:ascii="宋体" w:hAnsi="宋体" w:eastAsia="宋体" w:cs="Times New Roman"/>
                <w:sz w:val="24"/>
              </w:rPr>
              <w:t>序号</w:t>
            </w:r>
          </w:p>
        </w:tc>
        <w:tc>
          <w:tcPr>
            <w:tcW w:w="2504" w:type="pct"/>
            <w:noWrap w:val="0"/>
            <w:vAlign w:val="center"/>
          </w:tcPr>
          <w:p w14:paraId="30523446">
            <w:pPr>
              <w:jc w:val="center"/>
              <w:rPr>
                <w:rFonts w:hint="eastAsia" w:ascii="宋体" w:hAnsi="宋体" w:eastAsia="宋体" w:cs="Times New Roman"/>
                <w:sz w:val="24"/>
              </w:rPr>
            </w:pPr>
            <w:r>
              <w:rPr>
                <w:rFonts w:hint="eastAsia" w:ascii="宋体" w:hAnsi="宋体" w:eastAsia="宋体" w:cs="Times New Roman"/>
                <w:sz w:val="24"/>
              </w:rPr>
              <w:t>投标人名称</w:t>
            </w:r>
          </w:p>
        </w:tc>
        <w:tc>
          <w:tcPr>
            <w:tcW w:w="1258" w:type="pct"/>
            <w:noWrap w:val="0"/>
            <w:vAlign w:val="center"/>
          </w:tcPr>
          <w:p w14:paraId="15D2379D">
            <w:pPr>
              <w:jc w:val="center"/>
              <w:rPr>
                <w:rFonts w:hint="eastAsia" w:ascii="宋体" w:hAnsi="宋体" w:eastAsia="宋体" w:cs="Times New Roman"/>
                <w:sz w:val="24"/>
              </w:rPr>
            </w:pPr>
            <w:r>
              <w:rPr>
                <w:rFonts w:hint="eastAsia" w:ascii="宋体" w:hAnsi="宋体" w:eastAsia="宋体" w:cs="Times New Roman"/>
                <w:sz w:val="24"/>
              </w:rPr>
              <w:t>报价（元）</w:t>
            </w:r>
          </w:p>
        </w:tc>
      </w:tr>
      <w:tr w14:paraId="411A2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jc w:val="center"/>
        </w:trPr>
        <w:tc>
          <w:tcPr>
            <w:tcW w:w="1237" w:type="pct"/>
            <w:noWrap w:val="0"/>
            <w:vAlign w:val="center"/>
          </w:tcPr>
          <w:p w14:paraId="034B065E">
            <w:pPr>
              <w:jc w:val="center"/>
              <w:rPr>
                <w:rFonts w:hint="eastAsia" w:ascii="宋体" w:hAnsi="宋体" w:eastAsia="宋体" w:cs="Times New Roman"/>
                <w:sz w:val="24"/>
              </w:rPr>
            </w:pPr>
            <w:r>
              <w:rPr>
                <w:rFonts w:hint="eastAsia" w:ascii="Times New Roman" w:hAnsi="Times New Roman" w:eastAsia="宋体" w:cs="Times New Roman"/>
                <w:sz w:val="28"/>
              </w:rPr>
              <w:t>1</w:t>
            </w:r>
          </w:p>
        </w:tc>
        <w:tc>
          <w:tcPr>
            <w:tcW w:w="2504" w:type="pct"/>
            <w:noWrap w:val="0"/>
            <w:vAlign w:val="center"/>
          </w:tcPr>
          <w:p w14:paraId="6712113E">
            <w:pPr>
              <w:jc w:val="center"/>
              <w:rPr>
                <w:rFonts w:hint="default" w:ascii="宋体" w:hAnsi="宋体" w:eastAsia="宋体" w:cs="Times New Roman"/>
                <w:kern w:val="2"/>
                <w:sz w:val="24"/>
                <w:szCs w:val="24"/>
                <w:lang w:val="en-US" w:eastAsia="zh-CN" w:bidi="ar-SA"/>
              </w:rPr>
            </w:pPr>
          </w:p>
        </w:tc>
        <w:tc>
          <w:tcPr>
            <w:tcW w:w="1258" w:type="pct"/>
            <w:noWrap w:val="0"/>
            <w:vAlign w:val="center"/>
          </w:tcPr>
          <w:p w14:paraId="2917E14E">
            <w:pPr>
              <w:jc w:val="center"/>
              <w:rPr>
                <w:rFonts w:hint="default" w:ascii="宋体" w:hAnsi="宋体" w:eastAsia="宋体" w:cs="Times New Roman"/>
                <w:sz w:val="24"/>
                <w:lang w:val="en-US" w:eastAsia="zh-CN"/>
              </w:rPr>
            </w:pPr>
          </w:p>
        </w:tc>
      </w:tr>
      <w:tr w14:paraId="08F82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jc w:val="center"/>
        </w:trPr>
        <w:tc>
          <w:tcPr>
            <w:tcW w:w="1237" w:type="pct"/>
            <w:noWrap w:val="0"/>
            <w:vAlign w:val="center"/>
          </w:tcPr>
          <w:p w14:paraId="5D7E7EFC">
            <w:pPr>
              <w:jc w:val="center"/>
              <w:rPr>
                <w:rFonts w:hint="eastAsia" w:ascii="宋体" w:hAnsi="宋体" w:eastAsia="宋体" w:cs="Times New Roman"/>
                <w:sz w:val="24"/>
                <w:lang w:eastAsia="zh-CN"/>
              </w:rPr>
            </w:pPr>
            <w:r>
              <w:rPr>
                <w:rFonts w:hint="eastAsia" w:ascii="Times New Roman" w:hAnsi="Times New Roman" w:eastAsia="宋体" w:cs="Times New Roman"/>
                <w:sz w:val="28"/>
                <w:lang w:val="en-US" w:eastAsia="zh-CN"/>
              </w:rPr>
              <w:t>2</w:t>
            </w:r>
          </w:p>
        </w:tc>
        <w:tc>
          <w:tcPr>
            <w:tcW w:w="2504" w:type="pct"/>
            <w:noWrap w:val="0"/>
            <w:vAlign w:val="center"/>
          </w:tcPr>
          <w:p w14:paraId="18E6DE16">
            <w:pPr>
              <w:jc w:val="center"/>
              <w:rPr>
                <w:rFonts w:hint="default" w:ascii="宋体" w:hAnsi="宋体" w:eastAsia="宋体" w:cs="Times New Roman"/>
                <w:kern w:val="2"/>
                <w:sz w:val="24"/>
                <w:szCs w:val="24"/>
                <w:lang w:val="en-US" w:eastAsia="zh-CN" w:bidi="ar-SA"/>
              </w:rPr>
            </w:pPr>
          </w:p>
        </w:tc>
        <w:tc>
          <w:tcPr>
            <w:tcW w:w="1258" w:type="pct"/>
            <w:noWrap w:val="0"/>
            <w:vAlign w:val="center"/>
          </w:tcPr>
          <w:p w14:paraId="1F4588CB">
            <w:pPr>
              <w:jc w:val="center"/>
              <w:rPr>
                <w:rFonts w:hint="default" w:ascii="宋体" w:hAnsi="宋体" w:eastAsia="宋体" w:cs="Times New Roman"/>
                <w:sz w:val="24"/>
                <w:lang w:val="en-US" w:eastAsia="zh-CN"/>
              </w:rPr>
            </w:pPr>
          </w:p>
        </w:tc>
      </w:tr>
      <w:tr w14:paraId="5F742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jc w:val="center"/>
        </w:trPr>
        <w:tc>
          <w:tcPr>
            <w:tcW w:w="1237" w:type="pct"/>
            <w:noWrap w:val="0"/>
            <w:vAlign w:val="center"/>
          </w:tcPr>
          <w:p w14:paraId="3E87E6AD">
            <w:pPr>
              <w:jc w:val="center"/>
              <w:rPr>
                <w:rFonts w:hint="eastAsia" w:ascii="宋体" w:hAnsi="宋体" w:eastAsia="宋体" w:cs="Times New Roman"/>
                <w:sz w:val="24"/>
                <w:lang w:eastAsia="zh-CN"/>
              </w:rPr>
            </w:pPr>
            <w:r>
              <w:rPr>
                <w:rFonts w:hint="eastAsia" w:ascii="Times New Roman" w:hAnsi="Times New Roman" w:eastAsia="宋体" w:cs="Times New Roman"/>
                <w:sz w:val="28"/>
                <w:lang w:val="en-US" w:eastAsia="zh-CN"/>
              </w:rPr>
              <w:t>3</w:t>
            </w:r>
          </w:p>
        </w:tc>
        <w:tc>
          <w:tcPr>
            <w:tcW w:w="2504" w:type="pct"/>
            <w:noWrap w:val="0"/>
            <w:vAlign w:val="center"/>
          </w:tcPr>
          <w:p w14:paraId="3F547FA4">
            <w:pPr>
              <w:jc w:val="center"/>
              <w:rPr>
                <w:rFonts w:hint="default" w:ascii="宋体" w:hAnsi="宋体" w:eastAsia="宋体" w:cs="Times New Roman"/>
                <w:kern w:val="2"/>
                <w:sz w:val="24"/>
                <w:szCs w:val="24"/>
                <w:lang w:val="en-US" w:eastAsia="zh-CN" w:bidi="ar-SA"/>
              </w:rPr>
            </w:pPr>
          </w:p>
        </w:tc>
        <w:tc>
          <w:tcPr>
            <w:tcW w:w="1258" w:type="pct"/>
            <w:noWrap w:val="0"/>
            <w:vAlign w:val="center"/>
          </w:tcPr>
          <w:p w14:paraId="16FFAEA5">
            <w:pPr>
              <w:jc w:val="center"/>
              <w:rPr>
                <w:rFonts w:hint="default" w:ascii="宋体" w:hAnsi="宋体" w:eastAsia="宋体" w:cs="Times New Roman"/>
                <w:sz w:val="24"/>
                <w:szCs w:val="22"/>
                <w:lang w:val="en-US" w:eastAsia="zh-CN"/>
              </w:rPr>
            </w:pPr>
          </w:p>
        </w:tc>
      </w:tr>
      <w:tr w14:paraId="42A77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jc w:val="center"/>
        </w:trPr>
        <w:tc>
          <w:tcPr>
            <w:tcW w:w="1237" w:type="pct"/>
            <w:noWrap w:val="0"/>
            <w:vAlign w:val="center"/>
          </w:tcPr>
          <w:p w14:paraId="41CB675E">
            <w:pPr>
              <w:jc w:val="center"/>
              <w:rPr>
                <w:rFonts w:hint="default" w:ascii="Times New Roman" w:hAnsi="Times New Roman" w:eastAsia="宋体" w:cs="Times New Roman"/>
                <w:sz w:val="28"/>
                <w:lang w:val="en-US" w:eastAsia="zh-CN"/>
              </w:rPr>
            </w:pPr>
            <w:r>
              <w:rPr>
                <w:rFonts w:hint="eastAsia" w:cs="Times New Roman"/>
                <w:sz w:val="28"/>
                <w:lang w:val="en-US" w:eastAsia="zh-CN"/>
              </w:rPr>
              <w:t>4</w:t>
            </w:r>
          </w:p>
        </w:tc>
        <w:tc>
          <w:tcPr>
            <w:tcW w:w="2504" w:type="pct"/>
            <w:noWrap w:val="0"/>
            <w:vAlign w:val="center"/>
          </w:tcPr>
          <w:p w14:paraId="532624C5">
            <w:pPr>
              <w:jc w:val="center"/>
              <w:rPr>
                <w:rFonts w:hint="default" w:ascii="宋体" w:hAnsi="宋体" w:eastAsia="宋体" w:cs="Times New Roman"/>
                <w:kern w:val="2"/>
                <w:sz w:val="24"/>
                <w:szCs w:val="24"/>
                <w:lang w:val="en-US" w:eastAsia="zh-CN" w:bidi="ar-SA"/>
              </w:rPr>
            </w:pPr>
          </w:p>
        </w:tc>
        <w:tc>
          <w:tcPr>
            <w:tcW w:w="1258" w:type="pct"/>
            <w:noWrap w:val="0"/>
            <w:vAlign w:val="center"/>
          </w:tcPr>
          <w:p w14:paraId="4C20B9A2">
            <w:pPr>
              <w:jc w:val="center"/>
              <w:rPr>
                <w:rFonts w:hint="default" w:ascii="宋体" w:hAnsi="宋体" w:eastAsia="宋体" w:cs="Times New Roman"/>
                <w:sz w:val="24"/>
                <w:szCs w:val="22"/>
                <w:lang w:val="en-US" w:eastAsia="zh-CN"/>
              </w:rPr>
            </w:pPr>
          </w:p>
        </w:tc>
      </w:tr>
    </w:tbl>
    <w:p w14:paraId="42D7E411">
      <w:pPr>
        <w:rPr>
          <w:rFonts w:hint="eastAsia" w:ascii="Times New Roman" w:hAnsi="Times New Roman" w:eastAsia="宋体" w:cs="Times New Roman"/>
          <w:sz w:val="24"/>
        </w:rPr>
      </w:pPr>
    </w:p>
    <w:p w14:paraId="6E3479A9">
      <w:pPr>
        <w:rPr>
          <w:rFonts w:hint="eastAsia" w:ascii="仿宋_GB2312" w:hAnsi="仿宋_GB2312" w:eastAsia="仿宋_GB2312" w:cs="仿宋_GB2312"/>
          <w:sz w:val="32"/>
          <w:szCs w:val="32"/>
        </w:rPr>
      </w:pPr>
    </w:p>
    <w:p w14:paraId="7D3EA79B">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评委（签名）：                                                          </w:t>
      </w:r>
    </w:p>
    <w:p w14:paraId="134018A5">
      <w:pPr>
        <w:rPr>
          <w:rFonts w:hint="eastAsia" w:ascii="仿宋_GB2312" w:hAnsi="仿宋_GB2312" w:eastAsia="仿宋_GB2312" w:cs="仿宋_GB2312"/>
          <w:sz w:val="32"/>
          <w:szCs w:val="32"/>
        </w:rPr>
      </w:pPr>
    </w:p>
    <w:p w14:paraId="3D61ADD2">
      <w:pPr>
        <w:rPr>
          <w:rFonts w:hint="eastAsia" w:ascii="仿宋_GB2312" w:hAnsi="仿宋_GB2312" w:eastAsia="仿宋_GB2312" w:cs="仿宋_GB2312"/>
          <w:sz w:val="32"/>
          <w:szCs w:val="32"/>
        </w:rPr>
      </w:pPr>
    </w:p>
    <w:p w14:paraId="504BF234">
      <w:pPr>
        <w:rPr>
          <w:rFonts w:hint="eastAsia" w:ascii="仿宋_GB2312" w:hAnsi="仿宋_GB2312" w:eastAsia="仿宋_GB2312" w:cs="仿宋_GB2312"/>
          <w:sz w:val="32"/>
          <w:szCs w:val="32"/>
          <w:lang w:val="en-US" w:eastAsia="zh-CN"/>
        </w:rPr>
      </w:pPr>
    </w:p>
    <w:p w14:paraId="0B7EB13E">
      <w:pPr>
        <w:rPr>
          <w:rFonts w:hint="eastAsia" w:ascii="Times New Roman" w:hAnsi="Times New Roman" w:eastAsia="宋体" w:cs="Times New Roman"/>
          <w:sz w:val="24"/>
        </w:rPr>
      </w:pPr>
      <w:r>
        <w:rPr>
          <w:rFonts w:hint="eastAsia" w:ascii="仿宋_GB2312" w:hAnsi="仿宋_GB2312" w:eastAsia="仿宋_GB2312" w:cs="仿宋_GB2312"/>
          <w:sz w:val="32"/>
          <w:szCs w:val="32"/>
          <w:lang w:val="en-US" w:eastAsia="zh-CN"/>
        </w:rPr>
        <w:t>监委</w:t>
      </w:r>
      <w:r>
        <w:rPr>
          <w:rFonts w:hint="eastAsia" w:ascii="仿宋_GB2312" w:hAnsi="仿宋_GB2312" w:eastAsia="仿宋_GB2312" w:cs="仿宋_GB2312"/>
          <w:sz w:val="32"/>
          <w:szCs w:val="32"/>
        </w:rPr>
        <w:t>（签名）：</w:t>
      </w:r>
    </w:p>
    <w:p w14:paraId="3489D0A5">
      <w:pPr>
        <w:jc w:val="center"/>
        <w:rPr>
          <w:rFonts w:hint="eastAsia" w:ascii="Times New Roman" w:hAnsi="Times New Roman" w:eastAsia="宋体" w:cs="Times New Roman"/>
          <w:sz w:val="24"/>
        </w:rPr>
      </w:pPr>
    </w:p>
    <w:p w14:paraId="31C25CFF">
      <w:pPr>
        <w:jc w:val="center"/>
        <w:rPr>
          <w:rFonts w:hint="eastAsia" w:ascii="Times New Roman" w:hAnsi="Times New Roman" w:eastAsia="宋体" w:cs="Times New Roman"/>
          <w:sz w:val="24"/>
        </w:rPr>
      </w:pPr>
      <w:r>
        <w:rPr>
          <w:rFonts w:hint="eastAsia" w:ascii="Times New Roman" w:hAnsi="Times New Roman" w:eastAsia="宋体" w:cs="Times New Roman"/>
          <w:sz w:val="24"/>
        </w:rPr>
        <w:t xml:space="preserve"> </w:t>
      </w:r>
    </w:p>
    <w:p w14:paraId="0755BFEE">
      <w:pPr>
        <w:rPr>
          <w:rFonts w:hint="eastAsia" w:ascii="Times New Roman" w:hAnsi="Times New Roman" w:eastAsia="宋体" w:cs="Times New Roman"/>
          <w:sz w:val="24"/>
        </w:rPr>
      </w:pPr>
      <w:r>
        <w:rPr>
          <w:rFonts w:hint="eastAsia" w:ascii="Times New Roman" w:hAnsi="Times New Roman" w:eastAsia="宋体" w:cs="Times New Roman"/>
          <w:sz w:val="24"/>
        </w:rPr>
        <w:t xml:space="preserve">                                             </w:t>
      </w:r>
    </w:p>
    <w:p w14:paraId="3EFCEAE3">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lang w:eastAsia="zh-CN"/>
        </w:rPr>
      </w:pPr>
    </w:p>
    <w:p w14:paraId="7A805757">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ascii="仿宋" w:hAnsi="仿宋" w:eastAsia="仿宋" w:cs="仿宋"/>
          <w:b w:val="0"/>
          <w:bCs w:val="0"/>
          <w:sz w:val="32"/>
          <w:szCs w:val="32"/>
          <w:lang w:val="en-US" w:eastAsia="zh-CN"/>
        </w:rPr>
      </w:pPr>
    </w:p>
    <w:p w14:paraId="11FBF747">
      <w:pPr>
        <w:keepNext w:val="0"/>
        <w:keepLines/>
        <w:pageBreakBefore w:val="0"/>
        <w:widowControl w:val="0"/>
        <w:kinsoku/>
        <w:wordWrap/>
        <w:overflowPunct/>
        <w:topLinePunct w:val="0"/>
        <w:autoSpaceDE/>
        <w:autoSpaceDN/>
        <w:bidi w:val="0"/>
        <w:adjustRightInd/>
        <w:snapToGrid/>
        <w:textAlignment w:val="auto"/>
      </w:pPr>
    </w:p>
    <w:sectPr>
      <w:headerReference r:id="rId7" w:type="default"/>
      <w:footerReference r:id="rId8" w:type="default"/>
      <w:pgSz w:w="11900" w:h="16820" w:orient="landscape"/>
      <w:pgMar w:top="1440" w:right="1800" w:bottom="1440" w:left="1800" w:header="1140" w:footer="114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19F6E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FAFFEE"/>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271DAD"/>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A806C9"/>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89A9E6"/>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B1E7D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isplayHorizontalDrawingGridEvery w:val="1"/>
  <w:displayVerticalDrawingGridEvery w:val="1"/>
  <w:noPunctuationKerning w:val="1"/>
  <w:compat>
    <w:ulTrailSpace/>
    <w:doNotExpandShiftReturn/>
    <w:doNotWrapTextWithPunct/>
    <w:doNotUseEastAsianBreakRules/>
    <w:useFELayout/>
    <w:doNotUseIndentAsNumberingTabStop/>
    <w:compatSetting w:name="compatibilityMode" w:uri="http://schemas.microsoft.com/office/word" w:val="15"/>
  </w:compat>
  <w:rsids>
    <w:rsidRoot w:val="00000000"/>
    <w:rsid w:val="0148378D"/>
    <w:rsid w:val="056A5EC4"/>
    <w:rsid w:val="078825E4"/>
    <w:rsid w:val="0ABB3949"/>
    <w:rsid w:val="12B36E3A"/>
    <w:rsid w:val="13112D6F"/>
    <w:rsid w:val="186C4488"/>
    <w:rsid w:val="1AA34970"/>
    <w:rsid w:val="1BDC14AC"/>
    <w:rsid w:val="2639726E"/>
    <w:rsid w:val="2B732DA8"/>
    <w:rsid w:val="35BF293E"/>
    <w:rsid w:val="3FE13153"/>
    <w:rsid w:val="466663D8"/>
    <w:rsid w:val="4989271F"/>
    <w:rsid w:val="4D225361"/>
    <w:rsid w:val="50C23B30"/>
    <w:rsid w:val="52577B68"/>
    <w:rsid w:val="5511733E"/>
    <w:rsid w:val="5AAE7C59"/>
    <w:rsid w:val="5F1E1D1D"/>
    <w:rsid w:val="6A984129"/>
    <w:rsid w:val="71645044"/>
    <w:rsid w:val="B7771619"/>
    <w:rsid w:val="D4EE66D8"/>
    <w:rsid w:val="FD3B918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sz w:val="21"/>
      <w:szCs w:val="22"/>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customStyle="1" w:styleId="2">
    <w:name w:val="列出段落1"/>
    <w:qFormat/>
    <w:uiPriority w:val="99"/>
    <w:pPr>
      <w:widowControl w:val="0"/>
      <w:ind w:firstLine="420" w:firstLineChars="200"/>
      <w:jc w:val="both"/>
    </w:pPr>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1.xml"/><Relationship Id="rId15" Type="http://schemas.openxmlformats.org/officeDocument/2006/relationships/image" Target="media/image6.png"/><Relationship Id="rId14" Type="http://schemas.openxmlformats.org/officeDocument/2006/relationships/image" Target="media/image5.png"/><Relationship Id="rId13" Type="http://schemas.openxmlformats.org/officeDocument/2006/relationships/image" Target="media/image4.png"/><Relationship Id="rId12" Type="http://schemas.openxmlformats.org/officeDocument/2006/relationships/image" Target="media/image3.png"/><Relationship Id="rId11" Type="http://schemas.openxmlformats.org/officeDocument/2006/relationships/image" Target="media/image2.png"/><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xmlns="http://schemas.wps.cn/vas-ai-hub/contract-review">
    <reviewItem xmlns="http://schemas.wps.cn/vas-ai-hub/contract-review">
      <errorID xmlns="http://schemas.wps.cn/vas-ai-hub/contract-review">d92f8c59-84da-4ad3-9535-51e3ac7fdeaa</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651E30FD</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7cba18ba-53c3-4455-9c7f-9f734609b3ca</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52FD2664</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1d163224-7897-44d4-8079-8376c7c78c03</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1FD6F05F</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8543cdb2-3dbd-4a9c-8d4b-58f18a7cb963</errorID>
      <errorWord xmlns="http://schemas.wps.cn/vas-ai-hub/contract-review">红章</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公章</item>
      </candidateList>
      <explain xmlns="http://schemas.wps.cn/vas-ai-hub/contract-review"/>
      <paraID xmlns="http://schemas.wps.cn/vas-ai-hub/contract-review">1FD6F05F</paraID>
      <start xmlns="http://schemas.wps.cn/vas-ai-hub/contract-review">11</start>
      <end xmlns="http://schemas.wps.cn/vas-ai-hub/contract-review">13</end>
      <status xmlns="http://schemas.wps.cn/vas-ai-hub/contract-review">modified</status>
      <modifiedWord xmlns="http://schemas.wps.cn/vas-ai-hub/contract-review">公章</modifiedWord>
      <trackRevisions xmlns="http://schemas.wps.cn/vas-ai-hub/contract-review">false</trackRevisions>
    </reviewItem>
    <reviewItem xmlns="http://schemas.wps.cn/vas-ai-hub/contract-review">
      <errorID xmlns="http://schemas.wps.cn/vas-ai-hub/contract-review">8215dc4b-fa99-4558-aa9c-7fd0156b2172</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533A0AF8</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f3aed08a-e61b-4e95-ba95-991d4137407a</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4801A9D2</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217ecd19-426f-4fb1-acef-1ecb4bd33a05</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C121C10</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ebef1e5d-3f32-43a4-880c-3d1788c58039</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72B1F22F</paraID>
      <start xmlns="http://schemas.wps.cn/vas-ai-hub/contract-review">2</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5b62a01c-30d7-4fe7-8625-6bcd2d0d77aa</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72B1F22F</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9f8e34a8-87a6-4405-a6a7-d4e56033388d</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63A6D3</paraID>
      <start xmlns="http://schemas.wps.cn/vas-ai-hub/contract-review">2</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cb03e22a-6520-4070-a634-0b0876efe3db</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63A6D3</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bf4f4e8e-426b-47ee-9f0e-a313cedb1d1f</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1EE7740C</paraID>
      <start xmlns="http://schemas.wps.cn/vas-ai-hub/contract-review">2</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212a53a4-b6cd-449a-9582-b6cd0d28806c</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1EE7740C</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21c38726-0c6d-4e43-9081-fa5389588b5a</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6BE97AF7</paraID>
      <start xmlns="http://schemas.wps.cn/vas-ai-hub/contract-review">2</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f5204898-1a8f-4d68-8bb3-3c006e6b5c1b</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6BE97AF7</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766b3577-b326-4317-a483-61f7e793c9e2</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5F1D0A1F</paraID>
      <start xmlns="http://schemas.wps.cn/vas-ai-hub/contract-review">2</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d9751078-c309-42c1-b97e-82487ac86dae</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5F1D0A1F</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016d0728-5652-4fae-985c-560e56ae88c6</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60E68754</paraID>
      <start xmlns="http://schemas.wps.cn/vas-ai-hub/contract-review">2</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d3db8de9-cd46-4c34-bf11-8612cd0e3157</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60E68754</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10d23627-5ad9-49e0-bbc5-96556bb2a3ea</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34F3BDB4</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dae0cf96-786b-4108-b2d7-f1628823a801</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662A188A</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5a27955e-7892-4ef6-bf09-4d215e5da96f</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1A24A15</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1ae4a435-e1ed-450d-85bd-7275193d9f0a</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7B9E10A</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dffe1371-e1b1-4141-b4d6-01d7c7450d69</errorID>
      <errorWord xmlns="http://schemas.wps.cn/vas-ai-hub/contract-review">服务为</errorWord>
      <group xmlns="http://schemas.wps.cn/vas-ai-hub/contract-review">L1_Grammar</group>
      <groupName xmlns="http://schemas.wps.cn/vas-ai-hub/contract-review">语法问题</groupName>
      <ability xmlns="http://schemas.wps.cn/vas-ai-hub/contract-review">L2_Order</ability>
      <abilityName xmlns="http://schemas.wps.cn/vas-ai-hub/contract-review">语序不当</abilityName>
      <candidateList xmlns="http://schemas.wps.cn/vas-ai-hub/contract-review">
        <item xmlns="http://schemas.wps.cn/vas-ai-hub/contract-review">服务</item>
      </candidateList>
      <explain xmlns="http://schemas.wps.cn/vas-ai-hub/contract-review">句子可能没有遵循时空、逻辑顺序，或者介词、关联词等位置不当。</explain>
      <paraID xmlns="http://schemas.wps.cn/vas-ai-hub/contract-review">2FFF48FD</paraID>
      <start xmlns="http://schemas.wps.cn/vas-ai-hub/contract-review">10</start>
      <end xmlns="http://schemas.wps.cn/vas-ai-hub/contract-review">12</end>
      <status xmlns="http://schemas.wps.cn/vas-ai-hub/contract-review">modified</status>
      <modifiedWord xmlns="http://schemas.wps.cn/vas-ai-hub/contract-review">服务</modifiedWord>
      <trackRevisions xmlns="http://schemas.wps.cn/vas-ai-hub/contract-review">false</trackRevisions>
    </reviewItem>
  </reviewItems>
  <config xmlns="http://schemas.wps.cn/vas-ai-hub/contract-review"/>
</contractReview>
</file>

<file path=customXml/itemProps1.xml><?xml version="1.0" encoding="utf-8"?>
<ds:datastoreItem xmlns:ds="http://schemas.openxmlformats.org/officeDocument/2006/customXml" ds:itemID="{73ec0d76-93cf-4420-9f40-2a2654cb8d0c}">
  <ds:schemaRefs/>
</ds:datastoreItem>
</file>

<file path=docProps/app.xml><?xml version="1.0" encoding="utf-8"?>
<Properties xmlns="http://schemas.openxmlformats.org/officeDocument/2006/extended-properties" xmlns:vt="http://schemas.openxmlformats.org/officeDocument/2006/docPropsVTypes">
  <Pages>6</Pages>
  <Words>1504</Words>
  <Characters>1682</Characters>
  <TotalTime>6</TotalTime>
  <ScaleCrop>false</ScaleCrop>
  <LinksUpToDate>false</LinksUpToDate>
  <CharactersWithSpaces>5910</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2026-04-09T11:45:00Z</dcterms:created>
  <dc:creator>Apache POI</dc:creator>
  <cp:lastModifiedBy>诗与远方</cp:lastModifiedBy>
  <cp:lastPrinted>2026-05-28T10:33:00Z</cp:lastPrinted>
  <dcterms:modified xsi:type="dcterms:W3CDTF">2026-08-03T00:47:53Z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eyJoZGlkIjoiMDM3N2M1Y2Y0YzUzMjg0Y2FhNjg3MDljMzAzNjYzNDIifQ==</vt:lpwstr>
  </property>
  <property fmtid="{D5CDD505-2E9C-101B-9397-08002B2CF9AE}" pid="3" name="KSOProductBuildVer">
    <vt:lpwstr>2052-12.1.0.26895</vt:lpwstr>
  </property>
  <property fmtid="{D5CDD505-2E9C-101B-9397-08002B2CF9AE}" pid="4" name="ICV">
    <vt:lpwstr>DBD466B3EFBC4B25A8A250D718003315_13</vt:lpwstr>
  </property>
</Properties>
</file>