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CA0FB3">
      <w:pPr>
        <w:keepNext w:val="0"/>
        <w:keepLines/>
        <w:pageBreakBefore w:val="0"/>
        <w:widowControl w:val="0"/>
        <w:kinsoku/>
        <w:wordWrap/>
        <w:overflowPunct/>
        <w:topLinePunct w:val="0"/>
        <w:autoSpaceDE/>
        <w:autoSpaceDN/>
        <w:bidi w:val="0"/>
        <w:adjustRightInd/>
        <w:snapToGrid/>
        <w:textAlignment w:val="auto"/>
      </w:pPr>
    </w:p>
    <w:p w14:paraId="23C0C200">
      <w:pPr>
        <w:keepNext w:val="0"/>
        <w:keepLines/>
        <w:pageBreakBefore w:val="0"/>
        <w:widowControl w:val="0"/>
        <w:kinsoku/>
        <w:wordWrap/>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sz w:val="44"/>
          <w:szCs w:val="44"/>
        </w:rPr>
      </w:pPr>
    </w:p>
    <w:p w14:paraId="41701AA0">
      <w:pPr>
        <w:keepNext w:val="0"/>
        <w:keepLines/>
        <w:pageBreakBefore w:val="0"/>
        <w:widowControl w:val="0"/>
        <w:kinsoku/>
        <w:wordWrap/>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spacing w:val="340"/>
          <w:sz w:val="72"/>
          <w:szCs w:val="72"/>
        </w:rPr>
      </w:pPr>
    </w:p>
    <w:p w14:paraId="190C1738">
      <w:pPr>
        <w:keepNext w:val="0"/>
        <w:keepLines/>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pacing w:val="340"/>
          <w:sz w:val="60"/>
          <w:szCs w:val="60"/>
        </w:rPr>
      </w:pPr>
      <w:bookmarkStart w:id="0" w:name="OLE_LINK1"/>
      <w:r>
        <w:rPr>
          <w:rFonts w:hint="eastAsia" w:ascii="宋体" w:hAnsi="宋体" w:eastAsia="宋体" w:cs="宋体"/>
          <w:spacing w:val="340"/>
          <w:sz w:val="60"/>
          <w:szCs w:val="60"/>
          <w:lang w:val="en-US" w:eastAsia="zh-CN"/>
        </w:rPr>
        <w:t>湖南省药品检验检测研究院(北院)实验楼翻新提质改造项目规划设计</w:t>
      </w:r>
      <w:r>
        <w:rPr>
          <w:rFonts w:hint="eastAsia" w:ascii="宋体" w:hAnsi="宋体" w:eastAsia="宋体" w:cs="宋体"/>
          <w:spacing w:val="340"/>
          <w:sz w:val="60"/>
          <w:szCs w:val="60"/>
        </w:rPr>
        <w:t>询价</w:t>
      </w:r>
      <w:bookmarkEnd w:id="0"/>
      <w:r>
        <w:rPr>
          <w:rFonts w:hint="eastAsia" w:ascii="宋体" w:hAnsi="宋体" w:eastAsia="宋体" w:cs="宋体"/>
          <w:spacing w:val="340"/>
          <w:sz w:val="60"/>
          <w:szCs w:val="60"/>
        </w:rPr>
        <w:t>文件</w:t>
      </w:r>
    </w:p>
    <w:p w14:paraId="73C81B12">
      <w:pPr>
        <w:keepNext w:val="0"/>
        <w:keepLines/>
        <w:pageBreakBefore w:val="0"/>
        <w:widowControl w:val="0"/>
        <w:kinsoku/>
        <w:wordWrap/>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sz w:val="44"/>
          <w:szCs w:val="44"/>
        </w:rPr>
      </w:pPr>
    </w:p>
    <w:p w14:paraId="2C94D1AB">
      <w:pPr>
        <w:keepNext w:val="0"/>
        <w:keepLines/>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32"/>
          <w:szCs w:val="32"/>
        </w:rPr>
      </w:pPr>
      <w:r>
        <w:rPr>
          <w:rFonts w:hint="eastAsia" w:ascii="宋体" w:hAnsi="宋体" w:eastAsia="宋体" w:cs="宋体"/>
          <w:sz w:val="32"/>
          <w:szCs w:val="32"/>
          <w:lang w:eastAsia="zh-CN"/>
        </w:rPr>
        <w:t>（</w:t>
      </w:r>
      <w:r>
        <w:rPr>
          <w:rFonts w:hint="eastAsia" w:ascii="宋体" w:hAnsi="宋体" w:eastAsia="宋体" w:cs="宋体"/>
          <w:sz w:val="32"/>
          <w:szCs w:val="32"/>
        </w:rPr>
        <w:t>询价编号</w:t>
      </w:r>
      <w:r>
        <w:rPr>
          <w:rFonts w:hint="eastAsia" w:ascii="宋体" w:hAnsi="宋体" w:eastAsia="宋体" w:cs="宋体"/>
          <w:sz w:val="32"/>
          <w:szCs w:val="32"/>
          <w:u w:val="single"/>
        </w:rPr>
        <w:t xml:space="preserve">     </w:t>
      </w:r>
      <w:r>
        <w:rPr>
          <w:rFonts w:hint="eastAsia" w:ascii="宋体" w:hAnsi="宋体" w:eastAsia="宋体" w:cs="宋体"/>
          <w:sz w:val="32"/>
          <w:szCs w:val="32"/>
          <w:u w:val="single"/>
          <w:lang w:val="en-US" w:eastAsia="zh-CN"/>
        </w:rPr>
        <w:t xml:space="preserve">               </w:t>
      </w:r>
      <w:r>
        <w:rPr>
          <w:rFonts w:hint="eastAsia" w:ascii="宋体" w:hAnsi="宋体" w:eastAsia="宋体" w:cs="宋体"/>
          <w:sz w:val="32"/>
          <w:szCs w:val="32"/>
          <w:u w:val="single"/>
        </w:rPr>
        <w:t xml:space="preserve"> </w:t>
      </w:r>
      <w:r>
        <w:rPr>
          <w:rFonts w:hint="eastAsia" w:ascii="宋体" w:hAnsi="宋体" w:eastAsia="宋体" w:cs="宋体"/>
          <w:sz w:val="32"/>
          <w:szCs w:val="32"/>
        </w:rPr>
        <w:t xml:space="preserve"> </w:t>
      </w:r>
      <w:r>
        <w:rPr>
          <w:rFonts w:hint="eastAsia" w:ascii="宋体" w:hAnsi="宋体" w:eastAsia="宋体" w:cs="宋体"/>
          <w:sz w:val="32"/>
          <w:szCs w:val="32"/>
          <w:lang w:eastAsia="zh-CN"/>
        </w:rPr>
        <w:t>）</w:t>
      </w:r>
      <w:r>
        <w:rPr>
          <w:rFonts w:hint="eastAsia" w:ascii="宋体" w:hAnsi="宋体" w:eastAsia="宋体" w:cs="宋体"/>
          <w:sz w:val="32"/>
          <w:szCs w:val="32"/>
        </w:rPr>
        <w:t xml:space="preserve">  </w:t>
      </w:r>
    </w:p>
    <w:p w14:paraId="096F2B77">
      <w:pPr>
        <w:keepNext w:val="0"/>
        <w:keepLines/>
        <w:pageBreakBefore w:val="0"/>
        <w:widowControl w:val="0"/>
        <w:kinsoku/>
        <w:wordWrap/>
        <w:overflowPunct/>
        <w:topLinePunct w:val="0"/>
        <w:autoSpaceDE/>
        <w:autoSpaceDN/>
        <w:bidi w:val="0"/>
        <w:adjustRightInd/>
        <w:snapToGrid/>
        <w:textAlignment w:val="auto"/>
      </w:pPr>
    </w:p>
    <w:p w14:paraId="2B57FA08">
      <w:pPr>
        <w:keepNext w:val="0"/>
        <w:keepLines/>
        <w:pageBreakBefore w:val="0"/>
        <w:widowControl w:val="0"/>
        <w:kinsoku/>
        <w:wordWrap/>
        <w:overflowPunct/>
        <w:topLinePunct w:val="0"/>
        <w:autoSpaceDE/>
        <w:autoSpaceDN/>
        <w:bidi w:val="0"/>
        <w:adjustRightInd/>
        <w:snapToGrid/>
        <w:textAlignment w:val="auto"/>
      </w:pPr>
    </w:p>
    <w:p w14:paraId="0EC5B77B">
      <w:pPr>
        <w:keepNext w:val="0"/>
        <w:keepLines/>
        <w:pageBreakBefore w:val="0"/>
        <w:widowControl w:val="0"/>
        <w:kinsoku/>
        <w:wordWrap/>
        <w:overflowPunct/>
        <w:topLinePunct w:val="0"/>
        <w:autoSpaceDE/>
        <w:autoSpaceDN/>
        <w:bidi w:val="0"/>
        <w:adjustRightInd/>
        <w:snapToGrid/>
        <w:textAlignment w:val="auto"/>
      </w:pPr>
    </w:p>
    <w:p w14:paraId="42462B2F">
      <w:pPr>
        <w:keepNext w:val="0"/>
        <w:keepLines/>
        <w:pageBreakBefore w:val="0"/>
        <w:widowControl w:val="0"/>
        <w:kinsoku/>
        <w:wordWrap/>
        <w:overflowPunct/>
        <w:topLinePunct w:val="0"/>
        <w:autoSpaceDE/>
        <w:autoSpaceDN/>
        <w:bidi w:val="0"/>
        <w:adjustRightInd/>
        <w:snapToGrid/>
        <w:textAlignment w:val="auto"/>
      </w:pPr>
    </w:p>
    <w:p w14:paraId="431B5155">
      <w:pPr>
        <w:keepNext w:val="0"/>
        <w:keepLines/>
        <w:pageBreakBefore w:val="0"/>
        <w:widowControl w:val="0"/>
        <w:kinsoku/>
        <w:wordWrap/>
        <w:overflowPunct/>
        <w:topLinePunct w:val="0"/>
        <w:autoSpaceDE/>
        <w:autoSpaceDN/>
        <w:bidi w:val="0"/>
        <w:adjustRightInd/>
        <w:snapToGrid/>
        <w:textAlignment w:val="auto"/>
      </w:pPr>
    </w:p>
    <w:p w14:paraId="0C3710B7">
      <w:pPr>
        <w:keepNext w:val="0"/>
        <w:keepLines/>
        <w:pageBreakBefore w:val="0"/>
        <w:widowControl w:val="0"/>
        <w:kinsoku/>
        <w:wordWrap/>
        <w:overflowPunct/>
        <w:topLinePunct w:val="0"/>
        <w:autoSpaceDE/>
        <w:autoSpaceDN/>
        <w:bidi w:val="0"/>
        <w:adjustRightInd/>
        <w:snapToGrid/>
        <w:textAlignment w:val="auto"/>
      </w:pPr>
    </w:p>
    <w:p w14:paraId="3DE3A95A">
      <w:pPr>
        <w:keepNext w:val="0"/>
        <w:keepLines/>
        <w:pageBreakBefore w:val="0"/>
        <w:widowControl w:val="0"/>
        <w:kinsoku/>
        <w:wordWrap/>
        <w:overflowPunct/>
        <w:topLinePunct w:val="0"/>
        <w:autoSpaceDE/>
        <w:autoSpaceDN/>
        <w:bidi w:val="0"/>
        <w:adjustRightInd/>
        <w:snapToGrid/>
        <w:textAlignment w:val="auto"/>
      </w:pPr>
    </w:p>
    <w:p w14:paraId="0C8062BA">
      <w:pPr>
        <w:keepNext w:val="0"/>
        <w:keepLines/>
        <w:pageBreakBefore w:val="0"/>
        <w:widowControl w:val="0"/>
        <w:kinsoku/>
        <w:wordWrap/>
        <w:overflowPunct/>
        <w:topLinePunct w:val="0"/>
        <w:autoSpaceDE/>
        <w:autoSpaceDN/>
        <w:bidi w:val="0"/>
        <w:adjustRightInd/>
        <w:snapToGrid/>
        <w:textAlignment w:val="auto"/>
      </w:pPr>
    </w:p>
    <w:p w14:paraId="61F01A94">
      <w:pPr>
        <w:keepNext w:val="0"/>
        <w:keepLines/>
        <w:pageBreakBefore w:val="0"/>
        <w:widowControl w:val="0"/>
        <w:kinsoku/>
        <w:wordWrap/>
        <w:overflowPunct/>
        <w:topLinePunct w:val="0"/>
        <w:autoSpaceDE/>
        <w:autoSpaceDN/>
        <w:bidi w:val="0"/>
        <w:adjustRightInd/>
        <w:snapToGrid/>
        <w:textAlignment w:val="auto"/>
      </w:pPr>
    </w:p>
    <w:p w14:paraId="7D362E0B">
      <w:pPr>
        <w:keepNext w:val="0"/>
        <w:keepLines/>
        <w:pageBreakBefore w:val="0"/>
        <w:widowControl w:val="0"/>
        <w:kinsoku/>
        <w:wordWrap/>
        <w:overflowPunct/>
        <w:topLinePunct w:val="0"/>
        <w:autoSpaceDE/>
        <w:autoSpaceDN/>
        <w:bidi w:val="0"/>
        <w:adjustRightInd/>
        <w:snapToGrid/>
        <w:textAlignment w:val="auto"/>
      </w:pPr>
    </w:p>
    <w:p w14:paraId="69B82EC2">
      <w:pPr>
        <w:keepNext w:val="0"/>
        <w:keepLines/>
        <w:pageBreakBefore w:val="0"/>
        <w:widowControl w:val="0"/>
        <w:kinsoku/>
        <w:wordWrap/>
        <w:overflowPunct/>
        <w:topLinePunct w:val="0"/>
        <w:autoSpaceDE/>
        <w:autoSpaceDN/>
        <w:bidi w:val="0"/>
        <w:adjustRightInd/>
        <w:snapToGrid/>
        <w:textAlignment w:val="auto"/>
      </w:pPr>
    </w:p>
    <w:p w14:paraId="1A0FC891">
      <w:pPr>
        <w:keepNext w:val="0"/>
        <w:keepLines/>
        <w:pageBreakBefore w:val="0"/>
        <w:widowControl w:val="0"/>
        <w:kinsoku/>
        <w:wordWrap/>
        <w:overflowPunct/>
        <w:topLinePunct w:val="0"/>
        <w:autoSpaceDE/>
        <w:autoSpaceDN/>
        <w:bidi w:val="0"/>
        <w:adjustRightInd/>
        <w:snapToGrid/>
        <w:textAlignment w:val="auto"/>
      </w:pPr>
    </w:p>
    <w:p w14:paraId="45314D37">
      <w:pPr>
        <w:keepNext w:val="0"/>
        <w:keepLines/>
        <w:pageBreakBefore w:val="0"/>
        <w:widowControl w:val="0"/>
        <w:kinsoku/>
        <w:wordWrap/>
        <w:overflowPunct/>
        <w:topLinePunct w:val="0"/>
        <w:autoSpaceDE/>
        <w:autoSpaceDN/>
        <w:bidi w:val="0"/>
        <w:adjustRightInd/>
        <w:snapToGrid/>
        <w:textAlignment w:val="auto"/>
      </w:pPr>
    </w:p>
    <w:p w14:paraId="04A5F34E">
      <w:pPr>
        <w:keepNext w:val="0"/>
        <w:keepLines/>
        <w:pageBreakBefore w:val="0"/>
        <w:widowControl w:val="0"/>
        <w:kinsoku/>
        <w:wordWrap/>
        <w:overflowPunct/>
        <w:topLinePunct w:val="0"/>
        <w:autoSpaceDE/>
        <w:autoSpaceDN/>
        <w:bidi w:val="0"/>
        <w:adjustRightInd/>
        <w:snapToGrid/>
        <w:textAlignment w:val="auto"/>
      </w:pPr>
    </w:p>
    <w:p w14:paraId="3382D77E">
      <w:pPr>
        <w:keepNext w:val="0"/>
        <w:keepLines/>
        <w:pageBreakBefore w:val="0"/>
        <w:widowControl w:val="0"/>
        <w:kinsoku/>
        <w:wordWrap/>
        <w:overflowPunct/>
        <w:topLinePunct w:val="0"/>
        <w:autoSpaceDE/>
        <w:autoSpaceDN/>
        <w:bidi w:val="0"/>
        <w:adjustRightInd/>
        <w:snapToGrid/>
        <w:textAlignment w:val="auto"/>
      </w:pPr>
    </w:p>
    <w:p w14:paraId="20A1840E">
      <w:pPr>
        <w:keepNext w:val="0"/>
        <w:keepLines/>
        <w:pageBreakBefore w:val="0"/>
        <w:widowControl w:val="0"/>
        <w:kinsoku/>
        <w:wordWrap/>
        <w:overflowPunct/>
        <w:topLinePunct w:val="0"/>
        <w:autoSpaceDE/>
        <w:autoSpaceDN/>
        <w:bidi w:val="0"/>
        <w:adjustRightInd/>
        <w:snapToGrid/>
        <w:textAlignment w:val="auto"/>
      </w:pPr>
    </w:p>
    <w:p w14:paraId="40A6D043">
      <w:pPr>
        <w:keepNext w:val="0"/>
        <w:keepLines/>
        <w:pageBreakBefore w:val="0"/>
        <w:widowControl w:val="0"/>
        <w:kinsoku/>
        <w:wordWrap/>
        <w:overflowPunct/>
        <w:topLinePunct w:val="0"/>
        <w:autoSpaceDE/>
        <w:autoSpaceDN/>
        <w:bidi w:val="0"/>
        <w:adjustRightInd/>
        <w:snapToGrid/>
        <w:textAlignment w:val="auto"/>
      </w:pPr>
    </w:p>
    <w:p w14:paraId="387575F7">
      <w:pPr>
        <w:keepNext w:val="0"/>
        <w:keepLines/>
        <w:pageBreakBefore w:val="0"/>
        <w:widowControl w:val="0"/>
        <w:kinsoku/>
        <w:wordWrap/>
        <w:overflowPunct/>
        <w:topLinePunct w:val="0"/>
        <w:autoSpaceDE/>
        <w:autoSpaceDN/>
        <w:bidi w:val="0"/>
        <w:adjustRightInd/>
        <w:snapToGrid/>
        <w:textAlignment w:val="auto"/>
      </w:pPr>
    </w:p>
    <w:p w14:paraId="57ED4319">
      <w:pPr>
        <w:keepNext w:val="0"/>
        <w:keepLines/>
        <w:pageBreakBefore w:val="0"/>
        <w:widowControl w:val="0"/>
        <w:kinsoku/>
        <w:wordWrap/>
        <w:overflowPunct/>
        <w:topLinePunct w:val="0"/>
        <w:autoSpaceDE/>
        <w:autoSpaceDN/>
        <w:bidi w:val="0"/>
        <w:adjustRightInd/>
        <w:snapToGrid/>
        <w:textAlignment w:val="auto"/>
      </w:pPr>
    </w:p>
    <w:p w14:paraId="45372A93">
      <w:pPr>
        <w:keepNext w:val="0"/>
        <w:keepLines/>
        <w:pageBreakBefore w:val="0"/>
        <w:widowControl w:val="0"/>
        <w:kinsoku/>
        <w:wordWrap/>
        <w:overflowPunct/>
        <w:topLinePunct w:val="0"/>
        <w:autoSpaceDE/>
        <w:autoSpaceDN/>
        <w:bidi w:val="0"/>
        <w:adjustRightInd/>
        <w:snapToGrid/>
        <w:textAlignment w:val="auto"/>
        <w:rPr>
          <w:sz w:val="32"/>
          <w:szCs w:val="32"/>
        </w:rPr>
      </w:pPr>
    </w:p>
    <w:p w14:paraId="17AD237E">
      <w:pPr>
        <w:keepNext w:val="0"/>
        <w:keepLines/>
        <w:pageBreakBefore w:val="0"/>
        <w:widowControl w:val="0"/>
        <w:kinsoku/>
        <w:wordWrap/>
        <w:overflowPunct/>
        <w:topLinePunct w:val="0"/>
        <w:autoSpaceDE/>
        <w:autoSpaceDN/>
        <w:bidi w:val="0"/>
        <w:adjustRightInd/>
        <w:snapToGrid/>
        <w:jc w:val="center"/>
        <w:textAlignment w:val="auto"/>
        <w:rPr>
          <w:rFonts w:hint="default" w:eastAsia="宋体"/>
          <w:sz w:val="32"/>
          <w:szCs w:val="32"/>
          <w:lang w:val="en-US" w:eastAsia="zh-CN"/>
        </w:rPr>
        <w:sectPr>
          <w:headerReference r:id="rId3" w:type="default"/>
          <w:footerReference r:id="rId4" w:type="default"/>
          <w:pgSz w:w="11900" w:h="16820"/>
          <w:pgMar w:top="1420" w:right="1240" w:bottom="1420" w:left="1240" w:header="1120" w:footer="1120" w:gutter="0"/>
          <w:pgBorders>
            <w:top w:val="none" w:sz="0" w:space="0"/>
            <w:left w:val="none" w:sz="0" w:space="0"/>
            <w:bottom w:val="none" w:sz="0" w:space="0"/>
            <w:right w:val="none" w:sz="0" w:space="0"/>
          </w:pgBorders>
          <w:cols w:space="720" w:num="1"/>
        </w:sectPr>
      </w:pPr>
      <w:r>
        <w:rPr>
          <w:rFonts w:hint="eastAsia"/>
          <w:sz w:val="32"/>
          <w:szCs w:val="32"/>
          <w:u w:val="single"/>
          <w:lang w:val="en-US" w:eastAsia="zh-CN"/>
        </w:rPr>
        <w:t>2026 年 9月16 日</w:t>
      </w:r>
    </w:p>
    <w:p w14:paraId="5752D2F5">
      <w:pPr>
        <w:keepNext w:val="0"/>
        <w:keepLines/>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b/>
          <w:bCs/>
          <w:sz w:val="48"/>
          <w:szCs w:val="48"/>
        </w:rPr>
      </w:pPr>
      <w:r>
        <w:rPr>
          <w:rFonts w:hint="eastAsia" w:ascii="仿宋_GB2312" w:hAnsi="仿宋_GB2312" w:eastAsia="仿宋_GB2312" w:cs="仿宋_GB2312"/>
          <w:b/>
          <w:bCs/>
          <w:sz w:val="48"/>
          <w:szCs w:val="48"/>
        </w:rPr>
        <w:t>报价要求及相关资料</w:t>
      </w:r>
    </w:p>
    <w:p w14:paraId="5FBD272F">
      <w:pPr>
        <w:keepNext w:val="0"/>
        <w:keepLines/>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p>
    <w:p w14:paraId="3D750C95">
      <w:pPr>
        <w:keepNext w:val="0"/>
        <w:keepLines/>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递交资料要求</w:t>
      </w:r>
    </w:p>
    <w:p w14:paraId="2437F280">
      <w:pPr>
        <w:keepNext w:val="0"/>
        <w:keepLines/>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法人提交企业法人营业执照副本(或者法人登记证书)</w:t>
      </w:r>
      <w:r>
        <w:rPr>
          <w:rFonts w:hint="eastAsia" w:ascii="仿宋_GB2312" w:hAnsi="仿宋_GB2312" w:eastAsia="仿宋_GB2312" w:cs="仿宋_GB2312"/>
          <w:sz w:val="28"/>
          <w:szCs w:val="28"/>
          <w:lang w:eastAsia="zh-CN"/>
        </w:rPr>
        <w:t>。</w:t>
      </w:r>
    </w:p>
    <w:p w14:paraId="196CB1E9">
      <w:pPr>
        <w:keepNext w:val="0"/>
        <w:keepLines/>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法人提交法定代表人身份证明原件或者法定代表人授权委托书原件并附法定代表人身份证明原件；自然人提交身份证明复印件；</w:t>
      </w:r>
    </w:p>
    <w:p w14:paraId="3FA7786E">
      <w:pPr>
        <w:keepNext w:val="0"/>
        <w:keepLines/>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3、供应商</w:t>
      </w:r>
      <w:bookmarkStart w:id="1" w:name="_GoBack"/>
      <w:bookmarkEnd w:id="1"/>
      <w:r>
        <w:rPr>
          <w:rFonts w:hint="eastAsia" w:ascii="仿宋_GB2312" w:hAnsi="仿宋_GB2312" w:eastAsia="仿宋_GB2312" w:cs="仿宋_GB2312"/>
          <w:sz w:val="28"/>
          <w:szCs w:val="28"/>
          <w:lang w:val="en-US" w:eastAsia="zh-CN"/>
        </w:rPr>
        <w:t>具备住房城乡建设主管部门颁发的工程设计综合甲级资质或工程设计建筑行业乙级及以上资质或工程设计建筑行业（建筑工程）专业乙级及以上资质，资质证书处于有效期；</w:t>
      </w:r>
    </w:p>
    <w:p w14:paraId="4AA1084D">
      <w:pPr>
        <w:keepNext w:val="0"/>
        <w:keepLines/>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4、认为需要提供的其他证明资料。</w:t>
      </w:r>
    </w:p>
    <w:p w14:paraId="5F8FCE94">
      <w:pPr>
        <w:keepNext w:val="0"/>
        <w:keepLines/>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二、报价要求</w:t>
      </w:r>
    </w:p>
    <w:p w14:paraId="2F4C1950">
      <w:pPr>
        <w:keepNext w:val="0"/>
        <w:keepLines/>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lang w:val="en-US" w:eastAsia="zh-CN"/>
        </w:rPr>
        <w:t xml:space="preserve">. </w:t>
      </w:r>
      <w:r>
        <w:rPr>
          <w:rFonts w:hint="default" w:ascii="仿宋_GB2312" w:hAnsi="仿宋_GB2312" w:eastAsia="仿宋_GB2312" w:cs="仿宋_GB2312"/>
          <w:sz w:val="28"/>
          <w:szCs w:val="28"/>
          <w:lang w:val="en-US" w:eastAsia="zh-CN"/>
        </w:rPr>
        <w:t>报价单要求加盖公司公章，报价单请按甲方提供格式填写，报价限价为100000.00元，高于100000.00元为无效报价。</w:t>
      </w:r>
    </w:p>
    <w:p w14:paraId="6E361240">
      <w:pPr>
        <w:keepNext w:val="0"/>
        <w:keepLines/>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三、合同样本</w:t>
      </w:r>
    </w:p>
    <w:p w14:paraId="0B08C8D1">
      <w:pPr>
        <w:keepNext w:val="0"/>
        <w:keepLines/>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四、报价清单（附后）请按附后进行报价，本项目采取合理低价洽谈方式，即在收集完各单位报价后仅与我方认为单价及供货方案最优的前三家单位进行洽谈，洽谈单价不得高于本次报价。</w:t>
      </w:r>
    </w:p>
    <w:p w14:paraId="22902A66">
      <w:pPr>
        <w:keepNext w:val="0"/>
        <w:keepLines/>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五、其他</w:t>
      </w:r>
    </w:p>
    <w:p w14:paraId="428CCFF6">
      <w:pPr>
        <w:keepNext w:val="0"/>
        <w:keepLines/>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lang w:val="en-US" w:eastAsia="zh-CN"/>
        </w:rPr>
        <w:t xml:space="preserve">. </w:t>
      </w:r>
      <w:r>
        <w:rPr>
          <w:rFonts w:hint="default" w:ascii="仿宋_GB2312" w:hAnsi="仿宋_GB2312" w:eastAsia="仿宋_GB2312" w:cs="仿宋_GB2312"/>
          <w:sz w:val="28"/>
          <w:szCs w:val="28"/>
          <w:lang w:val="en-US" w:eastAsia="zh-CN"/>
        </w:rPr>
        <w:t>报价递交要求：请于2026年9月20日17点前将报价资料密封递交或邮寄至：长沙市体院路510号，802办公室，收件人：凌娟，电话：17891023005。</w:t>
      </w:r>
    </w:p>
    <w:p w14:paraId="6776F872">
      <w:pPr>
        <w:keepNext w:val="0"/>
        <w:keepLines/>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lang w:val="en-US" w:eastAsia="zh-CN"/>
        </w:rPr>
        <w:t xml:space="preserve">. </w:t>
      </w:r>
      <w:r>
        <w:rPr>
          <w:rFonts w:hint="default" w:ascii="仿宋_GB2312" w:hAnsi="仿宋_GB2312" w:eastAsia="仿宋_GB2312" w:cs="仿宋_GB2312"/>
          <w:sz w:val="28"/>
          <w:szCs w:val="28"/>
          <w:lang w:val="en-US" w:eastAsia="zh-CN"/>
        </w:rPr>
        <w:t>投标保证金：本工程为邀约询价模式，无需缴纳投标保证金。</w:t>
      </w:r>
    </w:p>
    <w:p w14:paraId="705604BE">
      <w:pPr>
        <w:keepNext w:val="0"/>
        <w:keepLines/>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lang w:val="en-US" w:eastAsia="zh-CN"/>
        </w:rPr>
        <w:t xml:space="preserve">. </w:t>
      </w:r>
      <w:r>
        <w:rPr>
          <w:rFonts w:hint="default" w:ascii="仿宋_GB2312" w:hAnsi="仿宋_GB2312" w:eastAsia="仿宋_GB2312" w:cs="仿宋_GB2312"/>
          <w:sz w:val="28"/>
          <w:szCs w:val="28"/>
          <w:lang w:val="en-US" w:eastAsia="zh-CN"/>
        </w:rPr>
        <w:t>开标时间：2026年9月21日9点</w:t>
      </w:r>
      <w:r>
        <w:rPr>
          <w:rFonts w:hint="eastAsia" w:ascii="仿宋_GB2312" w:hAnsi="仿宋_GB2312" w:eastAsia="仿宋_GB2312" w:cs="仿宋_GB2312"/>
          <w:sz w:val="28"/>
          <w:szCs w:val="28"/>
          <w:lang w:val="en-US" w:eastAsia="zh-CN"/>
        </w:rPr>
        <w:t>30分</w:t>
      </w:r>
      <w:r>
        <w:rPr>
          <w:rFonts w:hint="default" w:ascii="仿宋_GB2312" w:hAnsi="仿宋_GB2312" w:eastAsia="仿宋_GB2312" w:cs="仿宋_GB2312"/>
          <w:sz w:val="28"/>
          <w:szCs w:val="28"/>
          <w:lang w:val="en-US" w:eastAsia="zh-CN"/>
        </w:rPr>
        <w:t>。</w:t>
      </w:r>
    </w:p>
    <w:p w14:paraId="06EB5C60">
      <w:pPr>
        <w:keepNext w:val="0"/>
        <w:keepLines/>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 xml:space="preserve">六 </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项目概况见下面表格</w:t>
      </w:r>
    </w:p>
    <w:tbl>
      <w:tblPr>
        <w:tblStyle w:val="3"/>
        <w:tblW w:w="489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4"/>
        <w:gridCol w:w="1615"/>
        <w:gridCol w:w="5758"/>
      </w:tblGrid>
      <w:tr w14:paraId="56A5D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30B00">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2"/>
                <w:sz w:val="24"/>
                <w:szCs w:val="24"/>
                <w:u w:val="none"/>
                <w:lang w:val="en-US" w:eastAsia="zh-CN" w:bidi="ar-SA"/>
              </w:rPr>
            </w:pPr>
            <w:r>
              <w:rPr>
                <w:rFonts w:hint="eastAsia" w:ascii="仿宋_GB2312" w:hAnsi="仿宋_GB2312" w:eastAsia="仿宋_GB2312" w:cs="仿宋_GB2312"/>
                <w:b/>
                <w:bCs/>
                <w:i w:val="0"/>
                <w:iCs w:val="0"/>
                <w:color w:val="000000"/>
                <w:kern w:val="0"/>
                <w:sz w:val="24"/>
                <w:szCs w:val="24"/>
                <w:u w:val="none"/>
                <w:lang w:val="en-US" w:eastAsia="zh-CN" w:bidi="ar"/>
              </w:rPr>
              <w:t>序号</w:t>
            </w:r>
          </w:p>
        </w:tc>
        <w:tc>
          <w:tcPr>
            <w:tcW w:w="9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D48E7">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2"/>
                <w:sz w:val="24"/>
                <w:szCs w:val="24"/>
                <w:u w:val="none"/>
                <w:lang w:val="en-US" w:eastAsia="zh-CN" w:bidi="ar-SA"/>
              </w:rPr>
            </w:pPr>
            <w:r>
              <w:rPr>
                <w:rFonts w:hint="eastAsia" w:ascii="仿宋_GB2312" w:hAnsi="仿宋_GB2312" w:eastAsia="仿宋_GB2312" w:cs="仿宋_GB2312"/>
                <w:b/>
                <w:bCs/>
                <w:i w:val="0"/>
                <w:iCs w:val="0"/>
                <w:color w:val="000000"/>
                <w:kern w:val="2"/>
                <w:sz w:val="24"/>
                <w:szCs w:val="24"/>
                <w:u w:val="none"/>
                <w:lang w:val="en-US" w:eastAsia="zh-CN" w:bidi="ar-SA"/>
              </w:rPr>
              <w:t>服务阶段</w:t>
            </w:r>
          </w:p>
        </w:tc>
        <w:tc>
          <w:tcPr>
            <w:tcW w:w="35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5AB08">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2"/>
                <w:sz w:val="24"/>
                <w:szCs w:val="24"/>
                <w:u w:val="none"/>
                <w:lang w:val="en-US" w:eastAsia="zh-CN" w:bidi="ar-SA"/>
              </w:rPr>
            </w:pPr>
            <w:r>
              <w:rPr>
                <w:rFonts w:hint="eastAsia" w:ascii="仿宋_GB2312" w:hAnsi="仿宋_GB2312" w:eastAsia="仿宋_GB2312" w:cs="仿宋_GB2312"/>
                <w:b/>
                <w:bCs/>
                <w:i w:val="0"/>
                <w:iCs w:val="0"/>
                <w:color w:val="000000"/>
                <w:kern w:val="2"/>
                <w:sz w:val="24"/>
                <w:szCs w:val="24"/>
                <w:u w:val="none"/>
                <w:lang w:val="en-US" w:eastAsia="zh-CN" w:bidi="ar-SA"/>
              </w:rPr>
              <w:t>交付内容</w:t>
            </w:r>
          </w:p>
        </w:tc>
      </w:tr>
      <w:tr w14:paraId="03728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9" w:hRule="atLeast"/>
        </w:trPr>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6E963">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2"/>
                <w:sz w:val="24"/>
                <w:szCs w:val="24"/>
                <w:u w:val="none"/>
                <w:lang w:val="en-US" w:eastAsia="zh-CN" w:bidi="ar-SA"/>
              </w:rPr>
            </w:pPr>
            <w:r>
              <w:rPr>
                <w:rFonts w:hint="eastAsia" w:ascii="仿宋_GB2312" w:hAnsi="仿宋_GB2312" w:eastAsia="仿宋_GB2312" w:cs="仿宋_GB2312"/>
                <w:b/>
                <w:bCs/>
                <w:i w:val="0"/>
                <w:iCs w:val="0"/>
                <w:color w:val="000000"/>
                <w:kern w:val="0"/>
                <w:sz w:val="24"/>
                <w:szCs w:val="24"/>
                <w:u w:val="none"/>
                <w:lang w:val="en-US" w:eastAsia="zh-CN" w:bidi="ar"/>
              </w:rPr>
              <w:t>1</w:t>
            </w:r>
          </w:p>
        </w:tc>
        <w:tc>
          <w:tcPr>
            <w:tcW w:w="9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8DBF3">
            <w:pPr>
              <w:keepNext w:val="0"/>
              <w:keepLines w:val="0"/>
              <w:widowControl/>
              <w:suppressLineNumbers w:val="0"/>
              <w:spacing w:before="0" w:after="0" w:line="240" w:lineRule="auto"/>
              <w:jc w:val="left"/>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b w:val="0"/>
                <w:color w:val="000000"/>
                <w:kern w:val="2"/>
                <w:sz w:val="24"/>
                <w:szCs w:val="24"/>
                <w:lang w:val="en-US" w:eastAsia="zh-CN" w:bidi="ar-SA"/>
              </w:rPr>
              <w:t>方案阶段</w:t>
            </w:r>
          </w:p>
        </w:tc>
        <w:tc>
          <w:tcPr>
            <w:tcW w:w="3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039C5">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b w:val="0"/>
                <w:color w:val="000000"/>
                <w:kern w:val="2"/>
                <w:sz w:val="24"/>
                <w:szCs w:val="24"/>
                <w:lang w:val="en-US" w:eastAsia="zh-CN" w:bidi="ar-SA"/>
              </w:rPr>
              <w:t>总体设计说明、平面布置、功能分区、参观流线、展示大纲、重点空间效果图、展陈形式说明（提供纸质版1套、电子版1套）</w:t>
            </w:r>
          </w:p>
        </w:tc>
      </w:tr>
      <w:tr w14:paraId="20DB0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1" w:hRule="atLeast"/>
        </w:trPr>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40512">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2"/>
                <w:sz w:val="24"/>
                <w:szCs w:val="24"/>
                <w:u w:val="none"/>
                <w:lang w:val="en-US" w:eastAsia="zh-CN" w:bidi="ar-SA"/>
              </w:rPr>
            </w:pPr>
            <w:r>
              <w:rPr>
                <w:rFonts w:hint="eastAsia" w:ascii="仿宋_GB2312" w:hAnsi="仿宋_GB2312" w:eastAsia="仿宋_GB2312" w:cs="仿宋_GB2312"/>
                <w:b/>
                <w:bCs/>
                <w:i w:val="0"/>
                <w:iCs w:val="0"/>
                <w:color w:val="000000"/>
                <w:kern w:val="0"/>
                <w:sz w:val="24"/>
                <w:szCs w:val="24"/>
                <w:u w:val="none"/>
                <w:lang w:val="en-US" w:eastAsia="zh-CN" w:bidi="ar"/>
              </w:rPr>
              <w:t>2</w:t>
            </w:r>
          </w:p>
        </w:tc>
        <w:tc>
          <w:tcPr>
            <w:tcW w:w="9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FB0B1">
            <w:pPr>
              <w:keepNext w:val="0"/>
              <w:keepLines w:val="0"/>
              <w:widowControl/>
              <w:suppressLineNumbers w:val="0"/>
              <w:spacing w:before="0" w:after="0" w:line="240" w:lineRule="auto"/>
              <w:jc w:val="left"/>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b w:val="0"/>
                <w:color w:val="000000"/>
                <w:kern w:val="2"/>
                <w:sz w:val="24"/>
                <w:szCs w:val="24"/>
                <w:lang w:val="en-US" w:eastAsia="zh-CN" w:bidi="ar-SA"/>
              </w:rPr>
              <w:t>深化设计阶段</w:t>
            </w:r>
          </w:p>
        </w:tc>
        <w:tc>
          <w:tcPr>
            <w:tcW w:w="3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8BA5D">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b w:val="0"/>
                <w:color w:val="000000"/>
                <w:kern w:val="2"/>
                <w:sz w:val="24"/>
                <w:szCs w:val="24"/>
                <w:lang w:val="en-US" w:eastAsia="zh-CN" w:bidi="ar-SA"/>
              </w:rPr>
              <w:t>展陈空间全套效果图（提供JPG格式全套效果图）</w:t>
            </w:r>
          </w:p>
        </w:tc>
      </w:tr>
      <w:tr w14:paraId="0E508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15" w:hRule="atLeast"/>
        </w:trPr>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4AC74">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2"/>
                <w:sz w:val="24"/>
                <w:szCs w:val="24"/>
                <w:u w:val="none"/>
                <w:lang w:val="en-US" w:eastAsia="zh-CN" w:bidi="ar-SA"/>
              </w:rPr>
            </w:pPr>
            <w:r>
              <w:rPr>
                <w:rFonts w:hint="eastAsia" w:ascii="仿宋_GB2312" w:hAnsi="仿宋_GB2312" w:eastAsia="仿宋_GB2312" w:cs="仿宋_GB2312"/>
                <w:b/>
                <w:bCs/>
                <w:i w:val="0"/>
                <w:iCs w:val="0"/>
                <w:color w:val="000000"/>
                <w:kern w:val="0"/>
                <w:sz w:val="24"/>
                <w:szCs w:val="24"/>
                <w:u w:val="none"/>
                <w:lang w:val="en-US" w:eastAsia="zh-CN" w:bidi="ar"/>
              </w:rPr>
              <w:t>3</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8C2C1">
            <w:pPr>
              <w:keepNext w:val="0"/>
              <w:keepLines w:val="0"/>
              <w:widowControl/>
              <w:suppressLineNumbers w:val="0"/>
              <w:spacing w:before="0" w:after="0" w:line="240" w:lineRule="auto"/>
              <w:jc w:val="left"/>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b w:val="0"/>
                <w:color w:val="000000"/>
                <w:kern w:val="2"/>
                <w:sz w:val="24"/>
                <w:szCs w:val="24"/>
                <w:lang w:val="en-US" w:eastAsia="zh-CN" w:bidi="ar-SA"/>
              </w:rPr>
              <w:t>实施配合阶段</w:t>
            </w:r>
          </w:p>
        </w:tc>
        <w:tc>
          <w:tcPr>
            <w:tcW w:w="3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7997E">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b w:val="0"/>
                <w:color w:val="000000"/>
                <w:kern w:val="2"/>
                <w:sz w:val="24"/>
                <w:szCs w:val="24"/>
                <w:lang w:val="en-US" w:eastAsia="zh-CN" w:bidi="ar-SA"/>
              </w:rPr>
              <w:t>施工图、设计交底、材料样板确认、设备及展柜技术核验，变更和深化文件（按采购人通知及时提交全套施工图，修改周期为7日历天）</w:t>
            </w:r>
          </w:p>
        </w:tc>
      </w:tr>
      <w:tr w14:paraId="75CAF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1" w:hRule="atLeast"/>
        </w:trPr>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E2E13">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2"/>
                <w:sz w:val="24"/>
                <w:szCs w:val="24"/>
                <w:u w:val="none"/>
                <w:lang w:val="en-US" w:eastAsia="zh-CN" w:bidi="ar-SA"/>
              </w:rPr>
            </w:pPr>
            <w:r>
              <w:rPr>
                <w:rFonts w:hint="eastAsia" w:ascii="仿宋_GB2312" w:hAnsi="仿宋_GB2312" w:eastAsia="仿宋_GB2312" w:cs="仿宋_GB2312"/>
                <w:b/>
                <w:bCs/>
                <w:i w:val="0"/>
                <w:iCs w:val="0"/>
                <w:color w:val="000000"/>
                <w:kern w:val="0"/>
                <w:sz w:val="24"/>
                <w:szCs w:val="24"/>
                <w:u w:val="none"/>
                <w:lang w:val="en-US" w:eastAsia="zh-CN" w:bidi="ar"/>
              </w:rPr>
              <w:t>4</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9B4F6">
            <w:pPr>
              <w:keepNext w:val="0"/>
              <w:keepLines w:val="0"/>
              <w:widowControl/>
              <w:suppressLineNumbers w:val="0"/>
              <w:spacing w:before="0" w:after="0" w:line="240" w:lineRule="auto"/>
              <w:jc w:val="left"/>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b w:val="0"/>
                <w:color w:val="000000"/>
                <w:kern w:val="2"/>
                <w:sz w:val="24"/>
                <w:szCs w:val="24"/>
                <w:lang w:val="en-US" w:eastAsia="zh-CN" w:bidi="ar-SA"/>
              </w:rPr>
              <w:t>收尾阶段</w:t>
            </w:r>
          </w:p>
        </w:tc>
        <w:tc>
          <w:tcPr>
            <w:tcW w:w="3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0A96F">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b w:val="0"/>
                <w:color w:val="000000"/>
                <w:kern w:val="2"/>
                <w:sz w:val="24"/>
                <w:szCs w:val="24"/>
                <w:lang w:val="en-US" w:eastAsia="zh-CN" w:bidi="ar-SA"/>
              </w:rPr>
              <w:t>竣工资料配合、数字系统使用说明、培训资料、内容及设备清单、数据备份资料（按合同约定完成移交资料）</w:t>
            </w:r>
          </w:p>
        </w:tc>
      </w:tr>
    </w:tbl>
    <w:p w14:paraId="0DF6B3E4">
      <w:pPr>
        <w:pStyle w:val="2"/>
        <w:widowControl/>
        <w:kinsoku/>
        <w:wordWrap/>
        <w:overflowPunct/>
        <w:topLinePunct w:val="0"/>
        <w:autoSpaceDE/>
        <w:autoSpaceDN/>
        <w:bidi w:val="0"/>
        <w:adjustRightInd w:val="0"/>
        <w:snapToGrid w:val="0"/>
        <w:spacing w:before="280" w:beforeLines="-2147483648" w:beforeAutospacing="0" w:after="160" w:afterLines="-2147483648" w:afterAutospacing="0" w:line="440" w:lineRule="exact"/>
        <w:ind w:firstLine="0"/>
        <w:jc w:val="left"/>
        <w:textAlignment w:val="auto"/>
        <w:rPr>
          <w:rFonts w:hint="default" w:ascii="黑体" w:hAnsi="黑体" w:eastAsia="黑体" w:cs="黑体"/>
          <w:b/>
          <w:bCs/>
          <w:color w:val="000000"/>
          <w:kern w:val="0"/>
          <w:sz w:val="32"/>
          <w:szCs w:val="32"/>
          <w:lang w:val="en-US" w:eastAsia="zh-CN" w:bidi="ar-SA"/>
        </w:rPr>
      </w:pPr>
      <w:r>
        <w:rPr>
          <w:rFonts w:hint="eastAsia" w:ascii="仿宋_GB2312" w:hAnsi="仿宋_GB2312" w:eastAsia="仿宋_GB2312" w:cs="仿宋_GB2312"/>
          <w:b/>
          <w:bCs/>
          <w:sz w:val="28"/>
          <w:szCs w:val="28"/>
          <w:lang w:val="en-US" w:eastAsia="zh-CN"/>
        </w:rPr>
        <w:t>七、服务内容</w:t>
      </w:r>
    </w:p>
    <w:p w14:paraId="4A9D0D40">
      <w:pPr>
        <w:keepNext/>
        <w:keepLines/>
        <w:widowControl/>
        <w:kinsoku/>
        <w:wordWrap/>
        <w:overflowPunct/>
        <w:topLinePunct w:val="0"/>
        <w:autoSpaceDE/>
        <w:autoSpaceDN/>
        <w:bidi w:val="0"/>
        <w:adjustRightInd w:val="0"/>
        <w:snapToGrid w:val="0"/>
        <w:spacing w:before="200" w:after="100" w:line="440" w:lineRule="exact"/>
        <w:ind w:firstLine="0"/>
        <w:textAlignment w:val="auto"/>
        <w:outlineLvl w:val="1"/>
        <w:rPr>
          <w:rFonts w:hint="eastAsia" w:ascii="楷体" w:hAnsi="楷体" w:eastAsia="楷体" w:cs="楷体"/>
          <w:b w:val="0"/>
          <w:bCs w:val="0"/>
          <w:color w:val="000000"/>
          <w:sz w:val="28"/>
          <w:szCs w:val="28"/>
          <w:lang w:val="en-US" w:eastAsia="zh-CN" w:bidi="ar-SA"/>
        </w:rPr>
      </w:pPr>
      <w:r>
        <w:rPr>
          <w:rFonts w:hint="eastAsia" w:ascii="楷体" w:hAnsi="楷体" w:eastAsia="楷体" w:cs="楷体"/>
          <w:b w:val="0"/>
          <w:bCs w:val="0"/>
          <w:color w:val="000000"/>
          <w:sz w:val="28"/>
          <w:szCs w:val="28"/>
          <w:lang w:val="en-US" w:eastAsia="en-US" w:bidi="ar-SA"/>
        </w:rPr>
        <w:t>（一）</w:t>
      </w:r>
      <w:r>
        <w:rPr>
          <w:rFonts w:hint="eastAsia" w:ascii="楷体" w:hAnsi="楷体" w:eastAsia="楷体" w:cs="楷体"/>
          <w:b w:val="0"/>
          <w:bCs w:val="0"/>
          <w:color w:val="000000"/>
          <w:sz w:val="28"/>
          <w:szCs w:val="28"/>
          <w:lang w:val="en-US" w:eastAsia="zh-CN" w:bidi="ar-SA"/>
        </w:rPr>
        <w:t>项目内容</w:t>
      </w:r>
    </w:p>
    <w:p w14:paraId="1335CC7E">
      <w:pPr>
        <w:widowControl/>
        <w:kinsoku/>
        <w:wordWrap/>
        <w:overflowPunct/>
        <w:topLinePunct w:val="0"/>
        <w:autoSpaceDE/>
        <w:autoSpaceDN/>
        <w:bidi w:val="0"/>
        <w:adjustRightInd w:val="0"/>
        <w:snapToGrid w:val="0"/>
        <w:spacing w:after="12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本项目主要针对</w:t>
      </w:r>
      <w:r>
        <w:rPr>
          <w:rFonts w:hint="eastAsia" w:ascii="仿宋" w:hAnsi="仿宋" w:eastAsia="仿宋" w:cs="仿宋"/>
          <w:b w:val="0"/>
          <w:color w:val="000000"/>
          <w:sz w:val="28"/>
          <w:szCs w:val="28"/>
          <w:lang w:val="en-US" w:eastAsia="zh-CN" w:bidi="ar-SA"/>
        </w:rPr>
        <w:t>湖南省药品检验检测研究院12楼与13楼</w:t>
      </w:r>
      <w:r>
        <w:rPr>
          <w:rFonts w:hint="eastAsia" w:ascii="仿宋" w:hAnsi="仿宋" w:eastAsia="仿宋" w:cs="仿宋"/>
          <w:b w:val="0"/>
          <w:color w:val="000000"/>
          <w:sz w:val="28"/>
          <w:szCs w:val="28"/>
          <w:lang w:val="en-US" w:eastAsia="en-US" w:bidi="ar-SA"/>
        </w:rPr>
        <w:t>进行整体规划设计和布展设计，建设范围包括空间规划、展陈内容梳理、图文</w:t>
      </w:r>
      <w:r>
        <w:rPr>
          <w:rFonts w:hint="eastAsia" w:ascii="仿宋" w:hAnsi="仿宋" w:eastAsia="仿宋" w:cs="仿宋"/>
          <w:b w:val="0"/>
          <w:color w:val="000000"/>
          <w:sz w:val="28"/>
          <w:szCs w:val="28"/>
          <w:lang w:val="en-US" w:eastAsia="zh-CN" w:bidi="ar-SA"/>
        </w:rPr>
        <w:t>展板</w:t>
      </w:r>
      <w:r>
        <w:rPr>
          <w:rFonts w:hint="eastAsia" w:ascii="仿宋" w:hAnsi="仿宋" w:eastAsia="仿宋" w:cs="仿宋"/>
          <w:b w:val="0"/>
          <w:color w:val="000000"/>
          <w:sz w:val="28"/>
          <w:szCs w:val="28"/>
          <w:lang w:val="en-US" w:eastAsia="en-US" w:bidi="ar-SA"/>
        </w:rPr>
        <w:t>设计、实体标本展示、展柜设计、数字多媒体展示、互动体验、灯光及相关配套设计，并配合</w:t>
      </w:r>
      <w:r>
        <w:rPr>
          <w:rFonts w:hint="eastAsia" w:ascii="仿宋" w:hAnsi="仿宋" w:eastAsia="仿宋" w:cs="仿宋"/>
          <w:b w:val="0"/>
          <w:color w:val="000000"/>
          <w:sz w:val="28"/>
          <w:szCs w:val="28"/>
          <w:lang w:val="en-US" w:eastAsia="zh-CN" w:bidi="ar-SA"/>
        </w:rPr>
        <w:t>需求方</w:t>
      </w:r>
      <w:r>
        <w:rPr>
          <w:rFonts w:hint="eastAsia" w:ascii="仿宋" w:hAnsi="仿宋" w:eastAsia="仿宋" w:cs="仿宋"/>
          <w:b w:val="0"/>
          <w:color w:val="000000"/>
          <w:sz w:val="28"/>
          <w:szCs w:val="28"/>
          <w:lang w:val="en-US" w:eastAsia="en-US" w:bidi="ar-SA"/>
        </w:rPr>
        <w:t>完成后续深化设计、技术交底和实施阶段技术服务。</w:t>
      </w:r>
    </w:p>
    <w:tbl>
      <w:tblPr>
        <w:tblStyle w:val="3"/>
        <w:tblW w:w="9072" w:type="dxa"/>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162"/>
        <w:gridCol w:w="2410"/>
        <w:gridCol w:w="1772"/>
        <w:gridCol w:w="3728"/>
      </w:tblGrid>
      <w:tr w14:paraId="3DB92F01">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blHeader/>
          <w:jc w:val="center"/>
        </w:trPr>
        <w:tc>
          <w:tcPr>
            <w:tcW w:w="1162" w:type="dxa"/>
            <w:tcBorders>
              <w:top w:val="single" w:color="auto" w:sz="4" w:space="0"/>
              <w:left w:val="single" w:color="auto" w:sz="4" w:space="0"/>
              <w:bottom w:val="single" w:color="auto" w:sz="4" w:space="0"/>
              <w:right w:val="single" w:color="auto" w:sz="4" w:space="0"/>
            </w:tcBorders>
            <w:shd w:val="clear" w:color="auto" w:fill="auto"/>
            <w:tcMar>
              <w:top w:w="90" w:type="dxa"/>
              <w:left w:w="110" w:type="dxa"/>
              <w:bottom w:w="90" w:type="dxa"/>
              <w:right w:w="110" w:type="dxa"/>
            </w:tcMar>
            <w:vAlign w:val="center"/>
          </w:tcPr>
          <w:p w14:paraId="63D97B55">
            <w:pPr>
              <w:keepNext w:val="0"/>
              <w:keepLines w:val="0"/>
              <w:pageBreakBefore w:val="0"/>
              <w:widowControl/>
              <w:kinsoku/>
              <w:wordWrap/>
              <w:overflowPunct/>
              <w:topLinePunct w:val="0"/>
              <w:autoSpaceDE/>
              <w:autoSpaceDN/>
              <w:bidi w:val="0"/>
              <w:adjustRightInd w:val="0"/>
              <w:snapToGrid w:val="0"/>
              <w:spacing w:after="0" w:line="360" w:lineRule="auto"/>
              <w:ind w:left="0" w:leftChars="0" w:firstLine="0" w:firstLineChars="0"/>
              <w:jc w:val="center"/>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color w:val="000000"/>
                <w:sz w:val="28"/>
                <w:szCs w:val="28"/>
                <w:lang w:val="en-US" w:eastAsia="en-US" w:bidi="ar-SA"/>
              </w:rPr>
              <w:t>序号</w:t>
            </w:r>
          </w:p>
        </w:tc>
        <w:tc>
          <w:tcPr>
            <w:tcW w:w="2410" w:type="dxa"/>
            <w:tcBorders>
              <w:top w:val="single" w:color="auto" w:sz="4" w:space="0"/>
              <w:left w:val="single" w:color="auto" w:sz="4" w:space="0"/>
              <w:bottom w:val="single" w:color="auto" w:sz="4" w:space="0"/>
              <w:right w:val="single" w:color="auto" w:sz="4" w:space="0"/>
            </w:tcBorders>
            <w:shd w:val="clear" w:color="auto" w:fill="auto"/>
            <w:tcMar>
              <w:top w:w="90" w:type="dxa"/>
              <w:left w:w="110" w:type="dxa"/>
              <w:bottom w:w="90" w:type="dxa"/>
              <w:right w:w="110" w:type="dxa"/>
            </w:tcMar>
            <w:vAlign w:val="center"/>
          </w:tcPr>
          <w:p w14:paraId="4B9555FD">
            <w:pPr>
              <w:keepNext w:val="0"/>
              <w:keepLines w:val="0"/>
              <w:pageBreakBefore w:val="0"/>
              <w:widowControl/>
              <w:kinsoku/>
              <w:wordWrap/>
              <w:overflowPunct/>
              <w:topLinePunct w:val="0"/>
              <w:autoSpaceDE/>
              <w:autoSpaceDN/>
              <w:bidi w:val="0"/>
              <w:adjustRightInd w:val="0"/>
              <w:snapToGrid w:val="0"/>
              <w:spacing w:after="0" w:line="360" w:lineRule="auto"/>
              <w:ind w:left="0" w:leftChars="0" w:firstLine="0" w:firstLineChars="0"/>
              <w:jc w:val="center"/>
              <w:textAlignment w:val="auto"/>
              <w:rPr>
                <w:rFonts w:hint="eastAsia" w:ascii="仿宋" w:hAnsi="仿宋" w:eastAsia="仿宋" w:cs="仿宋"/>
                <w:b/>
                <w:color w:val="000000"/>
                <w:sz w:val="28"/>
                <w:szCs w:val="28"/>
                <w:lang w:val="en-US" w:eastAsia="en-US" w:bidi="ar-SA"/>
              </w:rPr>
            </w:pPr>
            <w:r>
              <w:rPr>
                <w:rFonts w:hint="eastAsia" w:ascii="仿宋" w:hAnsi="仿宋" w:eastAsia="仿宋" w:cs="仿宋"/>
                <w:b/>
                <w:color w:val="000000"/>
                <w:sz w:val="28"/>
                <w:szCs w:val="28"/>
                <w:lang w:val="en-US" w:eastAsia="en-US" w:bidi="ar-SA"/>
              </w:rPr>
              <w:t>建设内容</w:t>
            </w:r>
          </w:p>
        </w:tc>
        <w:tc>
          <w:tcPr>
            <w:tcW w:w="1772" w:type="dxa"/>
            <w:tcBorders>
              <w:top w:val="single" w:color="auto" w:sz="4" w:space="0"/>
              <w:left w:val="single" w:color="auto" w:sz="4" w:space="0"/>
              <w:bottom w:val="single" w:color="auto" w:sz="4" w:space="0"/>
              <w:right w:val="single" w:color="auto" w:sz="4" w:space="0"/>
            </w:tcBorders>
            <w:shd w:val="clear" w:color="auto" w:fill="auto"/>
            <w:tcMar>
              <w:top w:w="90" w:type="dxa"/>
              <w:left w:w="110" w:type="dxa"/>
              <w:bottom w:w="90" w:type="dxa"/>
              <w:right w:w="110" w:type="dxa"/>
            </w:tcMar>
            <w:vAlign w:val="center"/>
          </w:tcPr>
          <w:p w14:paraId="7F6BE3CF">
            <w:pPr>
              <w:keepNext w:val="0"/>
              <w:keepLines w:val="0"/>
              <w:pageBreakBefore w:val="0"/>
              <w:widowControl/>
              <w:kinsoku/>
              <w:wordWrap/>
              <w:overflowPunct/>
              <w:topLinePunct w:val="0"/>
              <w:autoSpaceDE/>
              <w:autoSpaceDN/>
              <w:bidi w:val="0"/>
              <w:adjustRightInd w:val="0"/>
              <w:snapToGrid w:val="0"/>
              <w:spacing w:after="0" w:line="360" w:lineRule="auto"/>
              <w:ind w:left="0" w:leftChars="0" w:firstLine="0" w:firstLineChars="0"/>
              <w:jc w:val="center"/>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color w:val="000000"/>
                <w:sz w:val="28"/>
                <w:szCs w:val="28"/>
                <w:lang w:val="en-US" w:eastAsia="en-US" w:bidi="ar-SA"/>
              </w:rPr>
              <w:t>面积</w:t>
            </w:r>
          </w:p>
        </w:tc>
        <w:tc>
          <w:tcPr>
            <w:tcW w:w="3728" w:type="dxa"/>
            <w:tcBorders>
              <w:top w:val="single" w:color="auto" w:sz="4" w:space="0"/>
              <w:left w:val="single" w:color="auto" w:sz="4" w:space="0"/>
              <w:bottom w:val="single" w:color="auto" w:sz="4" w:space="0"/>
              <w:right w:val="single" w:color="auto" w:sz="4" w:space="0"/>
            </w:tcBorders>
            <w:shd w:val="clear" w:color="auto" w:fill="auto"/>
            <w:tcMar>
              <w:top w:w="90" w:type="dxa"/>
              <w:left w:w="110" w:type="dxa"/>
              <w:bottom w:w="90" w:type="dxa"/>
              <w:right w:w="110" w:type="dxa"/>
            </w:tcMar>
            <w:vAlign w:val="center"/>
          </w:tcPr>
          <w:p w14:paraId="4CA83B6C">
            <w:pPr>
              <w:keepNext w:val="0"/>
              <w:keepLines w:val="0"/>
              <w:pageBreakBefore w:val="0"/>
              <w:widowControl/>
              <w:kinsoku/>
              <w:wordWrap/>
              <w:overflowPunct/>
              <w:topLinePunct w:val="0"/>
              <w:autoSpaceDE/>
              <w:autoSpaceDN/>
              <w:bidi w:val="0"/>
              <w:adjustRightInd w:val="0"/>
              <w:snapToGrid w:val="0"/>
              <w:spacing w:after="0" w:line="360" w:lineRule="auto"/>
              <w:ind w:left="0" w:leftChars="0" w:firstLine="0" w:firstLineChars="0"/>
              <w:jc w:val="center"/>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color w:val="000000"/>
                <w:sz w:val="28"/>
                <w:szCs w:val="28"/>
                <w:lang w:val="en-US" w:eastAsia="en-US" w:bidi="ar-SA"/>
              </w:rPr>
              <w:t>主要内容</w:t>
            </w:r>
          </w:p>
        </w:tc>
      </w:tr>
      <w:tr w14:paraId="6E947BBB">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0" w:hRule="atLeast"/>
          <w:jc w:val="center"/>
        </w:trPr>
        <w:tc>
          <w:tcPr>
            <w:tcW w:w="1162" w:type="dxa"/>
            <w:tcBorders>
              <w:top w:val="single" w:color="auto" w:sz="4" w:space="0"/>
              <w:left w:val="single" w:color="auto" w:sz="4" w:space="0"/>
              <w:bottom w:val="single" w:color="auto" w:sz="4" w:space="0"/>
              <w:right w:val="single" w:color="auto" w:sz="4" w:space="0"/>
            </w:tcBorders>
            <w:shd w:val="clear" w:color="auto" w:fill="auto"/>
            <w:tcMar>
              <w:top w:w="90" w:type="dxa"/>
              <w:left w:w="110" w:type="dxa"/>
              <w:bottom w:w="90" w:type="dxa"/>
              <w:right w:w="110" w:type="dxa"/>
            </w:tcMar>
            <w:vAlign w:val="center"/>
          </w:tcPr>
          <w:p w14:paraId="1C1B8DD0">
            <w:pPr>
              <w:keepNext w:val="0"/>
              <w:keepLines w:val="0"/>
              <w:pageBreakBefore w:val="0"/>
              <w:widowControl/>
              <w:kinsoku/>
              <w:wordWrap/>
              <w:overflowPunct/>
              <w:topLinePunct w:val="0"/>
              <w:autoSpaceDE/>
              <w:autoSpaceDN/>
              <w:bidi w:val="0"/>
              <w:adjustRightInd w:val="0"/>
              <w:snapToGrid w:val="0"/>
              <w:spacing w:after="0" w:line="360" w:lineRule="auto"/>
              <w:ind w:firstLine="420"/>
              <w:jc w:val="both"/>
              <w:textAlignment w:val="auto"/>
              <w:rPr>
                <w:rFonts w:hint="eastAsia" w:ascii="仿宋" w:hAnsi="仿宋" w:eastAsia="仿宋" w:cs="仿宋"/>
                <w:b w:val="0"/>
                <w:color w:val="000000"/>
                <w:sz w:val="28"/>
                <w:szCs w:val="28"/>
                <w:highlight w:val="none"/>
                <w:lang w:val="en-US" w:eastAsia="zh-CN" w:bidi="ar-SA"/>
              </w:rPr>
            </w:pPr>
            <w:r>
              <w:rPr>
                <w:rFonts w:hint="eastAsia" w:ascii="仿宋" w:hAnsi="仿宋" w:eastAsia="仿宋" w:cs="仿宋"/>
                <w:b w:val="0"/>
                <w:color w:val="000000"/>
                <w:sz w:val="28"/>
                <w:szCs w:val="28"/>
                <w:highlight w:val="none"/>
                <w:lang w:val="en-US" w:eastAsia="zh-CN" w:bidi="ar-SA"/>
              </w:rPr>
              <w:t>1</w:t>
            </w:r>
          </w:p>
        </w:tc>
        <w:tc>
          <w:tcPr>
            <w:tcW w:w="2410" w:type="dxa"/>
            <w:tcBorders>
              <w:top w:val="single" w:color="auto" w:sz="4" w:space="0"/>
              <w:left w:val="single" w:color="auto" w:sz="4" w:space="0"/>
              <w:bottom w:val="single" w:color="auto" w:sz="4" w:space="0"/>
              <w:right w:val="single" w:color="auto" w:sz="4" w:space="0"/>
            </w:tcBorders>
            <w:shd w:val="clear" w:color="auto" w:fill="auto"/>
            <w:tcMar>
              <w:top w:w="90" w:type="dxa"/>
              <w:left w:w="110" w:type="dxa"/>
              <w:bottom w:w="90" w:type="dxa"/>
              <w:right w:w="110" w:type="dxa"/>
            </w:tcMar>
            <w:vAlign w:val="center"/>
          </w:tcPr>
          <w:p w14:paraId="7B82B2D0">
            <w:pPr>
              <w:keepNext w:val="0"/>
              <w:keepLines w:val="0"/>
              <w:pageBreakBefore w:val="0"/>
              <w:widowControl/>
              <w:kinsoku/>
              <w:wordWrap/>
              <w:overflowPunct/>
              <w:topLinePunct w:val="0"/>
              <w:autoSpaceDE/>
              <w:autoSpaceDN/>
              <w:bidi w:val="0"/>
              <w:adjustRightInd w:val="0"/>
              <w:snapToGrid w:val="0"/>
              <w:spacing w:after="0" w:line="360" w:lineRule="auto"/>
              <w:ind w:left="0" w:leftChars="0" w:firstLine="0" w:firstLineChars="0"/>
              <w:jc w:val="center"/>
              <w:textAlignment w:val="auto"/>
              <w:rPr>
                <w:rFonts w:hint="eastAsia" w:ascii="仿宋" w:hAnsi="仿宋" w:eastAsia="仿宋" w:cs="仿宋"/>
                <w:b w:val="0"/>
                <w:color w:val="000000"/>
                <w:sz w:val="28"/>
                <w:szCs w:val="28"/>
                <w:highlight w:val="none"/>
                <w:lang w:val="en-US" w:eastAsia="zh-CN" w:bidi="ar-SA"/>
              </w:rPr>
            </w:pPr>
            <w:r>
              <w:rPr>
                <w:rFonts w:hint="eastAsia" w:ascii="仿宋" w:hAnsi="仿宋" w:eastAsia="仿宋" w:cs="仿宋"/>
                <w:b w:val="0"/>
                <w:color w:val="000000"/>
                <w:sz w:val="28"/>
                <w:szCs w:val="28"/>
                <w:highlight w:val="none"/>
                <w:lang w:val="en-US" w:eastAsia="zh-CN" w:bidi="ar-SA"/>
              </w:rPr>
              <w:t>湖南省药品检验检测研究院展馆</w:t>
            </w:r>
          </w:p>
        </w:tc>
        <w:tc>
          <w:tcPr>
            <w:tcW w:w="1772" w:type="dxa"/>
            <w:tcBorders>
              <w:top w:val="single" w:color="auto" w:sz="4" w:space="0"/>
              <w:left w:val="single" w:color="auto" w:sz="4" w:space="0"/>
              <w:bottom w:val="single" w:color="auto" w:sz="4" w:space="0"/>
              <w:right w:val="single" w:color="auto" w:sz="4" w:space="0"/>
            </w:tcBorders>
            <w:shd w:val="clear" w:color="auto" w:fill="auto"/>
            <w:tcMar>
              <w:top w:w="90" w:type="dxa"/>
              <w:left w:w="110" w:type="dxa"/>
              <w:bottom w:w="90" w:type="dxa"/>
              <w:right w:w="110" w:type="dxa"/>
            </w:tcMar>
            <w:vAlign w:val="center"/>
          </w:tcPr>
          <w:p w14:paraId="48294243">
            <w:pPr>
              <w:keepNext w:val="0"/>
              <w:keepLines w:val="0"/>
              <w:pageBreakBefore w:val="0"/>
              <w:widowControl/>
              <w:kinsoku/>
              <w:wordWrap/>
              <w:overflowPunct/>
              <w:topLinePunct w:val="0"/>
              <w:autoSpaceDE/>
              <w:autoSpaceDN/>
              <w:bidi w:val="0"/>
              <w:adjustRightInd w:val="0"/>
              <w:snapToGrid w:val="0"/>
              <w:spacing w:after="0" w:line="360" w:lineRule="auto"/>
              <w:ind w:left="0" w:leftChars="0" w:firstLine="0" w:firstLineChars="0"/>
              <w:jc w:val="center"/>
              <w:textAlignment w:val="auto"/>
              <w:rPr>
                <w:rFonts w:hint="eastAsia" w:ascii="仿宋" w:hAnsi="仿宋" w:eastAsia="仿宋" w:cs="仿宋"/>
                <w:b w:val="0"/>
                <w:color w:val="000000"/>
                <w:sz w:val="28"/>
                <w:szCs w:val="28"/>
                <w:highlight w:val="none"/>
                <w:lang w:val="en-US" w:eastAsia="zh-CN" w:bidi="ar-SA"/>
              </w:rPr>
            </w:pPr>
            <w:r>
              <w:rPr>
                <w:rFonts w:hint="eastAsia" w:ascii="仿宋" w:hAnsi="仿宋" w:eastAsia="仿宋" w:cs="仿宋"/>
                <w:b w:val="0"/>
                <w:color w:val="000000"/>
                <w:sz w:val="28"/>
                <w:szCs w:val="28"/>
                <w:highlight w:val="none"/>
                <w:lang w:val="en-US" w:eastAsia="zh-CN" w:bidi="ar-SA"/>
              </w:rPr>
              <w:t>840㎡</w:t>
            </w:r>
          </w:p>
        </w:tc>
        <w:tc>
          <w:tcPr>
            <w:tcW w:w="3728" w:type="dxa"/>
            <w:tcBorders>
              <w:top w:val="single" w:color="auto" w:sz="4" w:space="0"/>
              <w:left w:val="single" w:color="auto" w:sz="4" w:space="0"/>
              <w:bottom w:val="single" w:color="auto" w:sz="4" w:space="0"/>
              <w:right w:val="single" w:color="auto" w:sz="4" w:space="0"/>
            </w:tcBorders>
            <w:shd w:val="clear" w:color="auto" w:fill="auto"/>
            <w:tcMar>
              <w:top w:w="90" w:type="dxa"/>
              <w:left w:w="110" w:type="dxa"/>
              <w:bottom w:w="90" w:type="dxa"/>
              <w:right w:w="110" w:type="dxa"/>
            </w:tcMar>
            <w:vAlign w:val="center"/>
          </w:tcPr>
          <w:p w14:paraId="703B5945">
            <w:pPr>
              <w:keepNext w:val="0"/>
              <w:keepLines w:val="0"/>
              <w:pageBreakBefore w:val="0"/>
              <w:widowControl/>
              <w:kinsoku/>
              <w:wordWrap/>
              <w:overflowPunct/>
              <w:topLinePunct w:val="0"/>
              <w:autoSpaceDE/>
              <w:autoSpaceDN/>
              <w:bidi w:val="0"/>
              <w:adjustRightInd w:val="0"/>
              <w:snapToGrid w:val="0"/>
              <w:spacing w:after="0" w:line="360" w:lineRule="auto"/>
              <w:ind w:left="0" w:leftChars="0" w:firstLine="0" w:firstLineChars="0"/>
              <w:jc w:val="center"/>
              <w:textAlignment w:val="auto"/>
              <w:rPr>
                <w:rFonts w:hint="eastAsia" w:ascii="仿宋" w:hAnsi="仿宋" w:eastAsia="仿宋" w:cs="仿宋"/>
                <w:b w:val="0"/>
                <w:color w:val="000000"/>
                <w:sz w:val="28"/>
                <w:szCs w:val="28"/>
                <w:highlight w:val="none"/>
                <w:lang w:val="en-US" w:eastAsia="zh-CN" w:bidi="ar-SA"/>
              </w:rPr>
            </w:pPr>
            <w:r>
              <w:rPr>
                <w:rFonts w:hint="eastAsia" w:ascii="仿宋" w:hAnsi="仿宋" w:eastAsia="仿宋" w:cs="仿宋"/>
                <w:b w:val="0"/>
                <w:color w:val="000000"/>
                <w:sz w:val="28"/>
                <w:szCs w:val="28"/>
                <w:highlight w:val="none"/>
                <w:lang w:val="en-US" w:eastAsia="zh-CN" w:bidi="ar-SA"/>
              </w:rPr>
              <w:t>展馆包含（院史馆、标本馆、科普馆）</w:t>
            </w:r>
          </w:p>
        </w:tc>
      </w:tr>
      <w:tr w14:paraId="67ABD9A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0" w:hRule="atLeast"/>
          <w:jc w:val="center"/>
        </w:trPr>
        <w:tc>
          <w:tcPr>
            <w:tcW w:w="1162" w:type="dxa"/>
            <w:tcBorders>
              <w:top w:val="single" w:color="auto" w:sz="4" w:space="0"/>
              <w:left w:val="single" w:color="auto" w:sz="4" w:space="0"/>
              <w:bottom w:val="single" w:color="auto" w:sz="4" w:space="0"/>
              <w:right w:val="single" w:color="auto" w:sz="4" w:space="0"/>
            </w:tcBorders>
            <w:shd w:val="clear" w:color="auto" w:fill="auto"/>
            <w:tcMar>
              <w:top w:w="90" w:type="dxa"/>
              <w:left w:w="110" w:type="dxa"/>
              <w:bottom w:w="90" w:type="dxa"/>
              <w:right w:w="110" w:type="dxa"/>
            </w:tcMar>
            <w:vAlign w:val="center"/>
          </w:tcPr>
          <w:p w14:paraId="082F92DE">
            <w:pPr>
              <w:keepNext w:val="0"/>
              <w:keepLines w:val="0"/>
              <w:pageBreakBefore w:val="0"/>
              <w:widowControl/>
              <w:kinsoku/>
              <w:wordWrap/>
              <w:overflowPunct/>
              <w:topLinePunct w:val="0"/>
              <w:autoSpaceDE/>
              <w:autoSpaceDN/>
              <w:bidi w:val="0"/>
              <w:adjustRightInd w:val="0"/>
              <w:snapToGrid w:val="0"/>
              <w:spacing w:after="0" w:line="360" w:lineRule="auto"/>
              <w:ind w:firstLine="420"/>
              <w:jc w:val="both"/>
              <w:textAlignment w:val="auto"/>
              <w:rPr>
                <w:rFonts w:hint="eastAsia" w:ascii="仿宋" w:hAnsi="仿宋" w:eastAsia="仿宋" w:cs="仿宋"/>
                <w:b w:val="0"/>
                <w:color w:val="000000"/>
                <w:sz w:val="28"/>
                <w:szCs w:val="28"/>
                <w:highlight w:val="none"/>
                <w:lang w:val="en-US" w:eastAsia="zh-CN" w:bidi="ar-SA"/>
              </w:rPr>
            </w:pPr>
            <w:r>
              <w:rPr>
                <w:rFonts w:hint="eastAsia" w:ascii="仿宋" w:hAnsi="仿宋" w:eastAsia="仿宋" w:cs="仿宋"/>
                <w:b w:val="0"/>
                <w:color w:val="000000"/>
                <w:sz w:val="28"/>
                <w:szCs w:val="28"/>
                <w:highlight w:val="none"/>
                <w:lang w:val="en-US" w:eastAsia="zh-CN" w:bidi="ar-SA"/>
              </w:rPr>
              <w:t>2</w:t>
            </w:r>
          </w:p>
        </w:tc>
        <w:tc>
          <w:tcPr>
            <w:tcW w:w="2410" w:type="dxa"/>
            <w:tcBorders>
              <w:top w:val="single" w:color="auto" w:sz="4" w:space="0"/>
              <w:left w:val="single" w:color="auto" w:sz="4" w:space="0"/>
              <w:bottom w:val="single" w:color="auto" w:sz="4" w:space="0"/>
              <w:right w:val="single" w:color="auto" w:sz="4" w:space="0"/>
            </w:tcBorders>
            <w:shd w:val="clear" w:color="auto" w:fill="auto"/>
            <w:tcMar>
              <w:top w:w="90" w:type="dxa"/>
              <w:left w:w="110" w:type="dxa"/>
              <w:bottom w:w="90" w:type="dxa"/>
              <w:right w:w="110" w:type="dxa"/>
            </w:tcMar>
            <w:vAlign w:val="center"/>
          </w:tcPr>
          <w:p w14:paraId="6EB4F331">
            <w:pPr>
              <w:keepNext w:val="0"/>
              <w:keepLines w:val="0"/>
              <w:pageBreakBefore w:val="0"/>
              <w:widowControl/>
              <w:kinsoku/>
              <w:wordWrap/>
              <w:overflowPunct/>
              <w:topLinePunct w:val="0"/>
              <w:autoSpaceDE/>
              <w:autoSpaceDN/>
              <w:bidi w:val="0"/>
              <w:adjustRightInd w:val="0"/>
              <w:snapToGrid w:val="0"/>
              <w:spacing w:after="0" w:line="360" w:lineRule="auto"/>
              <w:ind w:left="0" w:leftChars="0" w:firstLine="0" w:firstLineChars="0"/>
              <w:jc w:val="center"/>
              <w:textAlignment w:val="auto"/>
              <w:rPr>
                <w:rFonts w:hint="eastAsia" w:ascii="仿宋" w:hAnsi="仿宋" w:eastAsia="仿宋" w:cs="仿宋"/>
                <w:b w:val="0"/>
                <w:color w:val="000000"/>
                <w:sz w:val="28"/>
                <w:szCs w:val="28"/>
                <w:highlight w:val="none"/>
                <w:lang w:val="en-US" w:eastAsia="zh-CN" w:bidi="ar-SA"/>
              </w:rPr>
            </w:pPr>
            <w:r>
              <w:rPr>
                <w:rFonts w:hint="eastAsia" w:ascii="仿宋" w:hAnsi="仿宋" w:eastAsia="仿宋" w:cs="仿宋"/>
                <w:b w:val="0"/>
                <w:color w:val="000000"/>
                <w:sz w:val="28"/>
                <w:szCs w:val="28"/>
                <w:highlight w:val="none"/>
                <w:lang w:val="en-US" w:eastAsia="zh-CN" w:bidi="ar-SA"/>
              </w:rPr>
              <w:t>储藏室</w:t>
            </w:r>
          </w:p>
        </w:tc>
        <w:tc>
          <w:tcPr>
            <w:tcW w:w="1772" w:type="dxa"/>
            <w:tcBorders>
              <w:top w:val="single" w:color="auto" w:sz="4" w:space="0"/>
              <w:left w:val="single" w:color="auto" w:sz="4" w:space="0"/>
              <w:bottom w:val="single" w:color="auto" w:sz="4" w:space="0"/>
              <w:right w:val="single" w:color="auto" w:sz="4" w:space="0"/>
            </w:tcBorders>
            <w:shd w:val="clear" w:color="auto" w:fill="auto"/>
            <w:tcMar>
              <w:top w:w="90" w:type="dxa"/>
              <w:left w:w="110" w:type="dxa"/>
              <w:bottom w:w="90" w:type="dxa"/>
              <w:right w:w="110" w:type="dxa"/>
            </w:tcMar>
            <w:vAlign w:val="center"/>
          </w:tcPr>
          <w:p w14:paraId="47A7B490">
            <w:pPr>
              <w:keepNext w:val="0"/>
              <w:keepLines w:val="0"/>
              <w:pageBreakBefore w:val="0"/>
              <w:widowControl/>
              <w:kinsoku/>
              <w:wordWrap/>
              <w:overflowPunct/>
              <w:topLinePunct w:val="0"/>
              <w:autoSpaceDE/>
              <w:autoSpaceDN/>
              <w:bidi w:val="0"/>
              <w:adjustRightInd w:val="0"/>
              <w:snapToGrid w:val="0"/>
              <w:spacing w:after="0" w:line="360" w:lineRule="auto"/>
              <w:ind w:left="0" w:leftChars="0" w:firstLine="0" w:firstLineChars="0"/>
              <w:jc w:val="center"/>
              <w:textAlignment w:val="auto"/>
              <w:rPr>
                <w:rFonts w:hint="eastAsia" w:ascii="仿宋" w:hAnsi="仿宋" w:eastAsia="仿宋" w:cs="仿宋"/>
                <w:b w:val="0"/>
                <w:color w:val="000000"/>
                <w:sz w:val="28"/>
                <w:szCs w:val="28"/>
                <w:highlight w:val="none"/>
                <w:lang w:val="en-US" w:eastAsia="zh-CN" w:bidi="ar-SA"/>
              </w:rPr>
            </w:pPr>
            <w:r>
              <w:rPr>
                <w:rFonts w:hint="eastAsia" w:ascii="仿宋" w:hAnsi="仿宋" w:eastAsia="仿宋" w:cs="仿宋"/>
                <w:b w:val="0"/>
                <w:color w:val="000000"/>
                <w:sz w:val="28"/>
                <w:szCs w:val="28"/>
                <w:highlight w:val="none"/>
                <w:lang w:val="en-US" w:eastAsia="zh-CN" w:bidi="ar-SA"/>
              </w:rPr>
              <w:t>450㎡</w:t>
            </w:r>
          </w:p>
        </w:tc>
        <w:tc>
          <w:tcPr>
            <w:tcW w:w="3728" w:type="dxa"/>
            <w:tcBorders>
              <w:top w:val="single" w:color="auto" w:sz="4" w:space="0"/>
              <w:left w:val="single" w:color="auto" w:sz="4" w:space="0"/>
              <w:bottom w:val="single" w:color="auto" w:sz="4" w:space="0"/>
              <w:right w:val="single" w:color="auto" w:sz="4" w:space="0"/>
            </w:tcBorders>
            <w:shd w:val="clear" w:color="auto" w:fill="auto"/>
            <w:tcMar>
              <w:top w:w="90" w:type="dxa"/>
              <w:left w:w="110" w:type="dxa"/>
              <w:bottom w:w="90" w:type="dxa"/>
              <w:right w:w="110" w:type="dxa"/>
            </w:tcMar>
            <w:vAlign w:val="center"/>
          </w:tcPr>
          <w:p w14:paraId="13B7B46F">
            <w:pPr>
              <w:keepNext w:val="0"/>
              <w:keepLines w:val="0"/>
              <w:pageBreakBefore w:val="0"/>
              <w:widowControl/>
              <w:kinsoku/>
              <w:wordWrap/>
              <w:overflowPunct/>
              <w:topLinePunct w:val="0"/>
              <w:autoSpaceDE/>
              <w:autoSpaceDN/>
              <w:bidi w:val="0"/>
              <w:adjustRightInd w:val="0"/>
              <w:snapToGrid w:val="0"/>
              <w:spacing w:after="0" w:line="360" w:lineRule="auto"/>
              <w:ind w:left="0" w:leftChars="0" w:firstLine="0" w:firstLineChars="0"/>
              <w:jc w:val="center"/>
              <w:textAlignment w:val="auto"/>
              <w:rPr>
                <w:rFonts w:hint="eastAsia" w:ascii="仿宋" w:hAnsi="仿宋" w:eastAsia="仿宋" w:cs="仿宋"/>
                <w:b w:val="0"/>
                <w:color w:val="000000"/>
                <w:sz w:val="28"/>
                <w:szCs w:val="28"/>
                <w:highlight w:val="none"/>
                <w:lang w:val="en-US" w:eastAsia="zh-CN" w:bidi="ar-SA"/>
              </w:rPr>
            </w:pPr>
            <w:r>
              <w:rPr>
                <w:rFonts w:hint="eastAsia" w:ascii="仿宋" w:hAnsi="仿宋" w:eastAsia="仿宋" w:cs="仿宋"/>
                <w:b w:val="0"/>
                <w:color w:val="000000"/>
                <w:sz w:val="28"/>
                <w:szCs w:val="28"/>
                <w:highlight w:val="none"/>
                <w:lang w:val="en-US" w:eastAsia="zh-CN" w:bidi="ar-SA"/>
              </w:rPr>
              <w:t>标本储藏、标本采集和标本摄影</w:t>
            </w:r>
          </w:p>
        </w:tc>
      </w:tr>
      <w:tr w14:paraId="050FEE3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0" w:hRule="atLeast"/>
          <w:jc w:val="center"/>
        </w:trPr>
        <w:tc>
          <w:tcPr>
            <w:tcW w:w="3572" w:type="dxa"/>
            <w:gridSpan w:val="2"/>
            <w:tcBorders>
              <w:top w:val="single" w:color="auto" w:sz="4" w:space="0"/>
              <w:left w:val="single" w:color="auto" w:sz="4" w:space="0"/>
              <w:bottom w:val="single" w:color="auto" w:sz="4" w:space="0"/>
              <w:right w:val="single" w:color="auto" w:sz="4" w:space="0"/>
            </w:tcBorders>
            <w:shd w:val="clear" w:color="auto" w:fill="auto"/>
            <w:tcMar>
              <w:top w:w="90" w:type="dxa"/>
              <w:left w:w="110" w:type="dxa"/>
              <w:bottom w:w="90" w:type="dxa"/>
              <w:right w:w="110" w:type="dxa"/>
            </w:tcMar>
            <w:vAlign w:val="center"/>
          </w:tcPr>
          <w:p w14:paraId="2AB5084A">
            <w:pPr>
              <w:keepNext w:val="0"/>
              <w:keepLines w:val="0"/>
              <w:pageBreakBefore w:val="0"/>
              <w:widowControl/>
              <w:kinsoku/>
              <w:wordWrap/>
              <w:overflowPunct/>
              <w:topLinePunct w:val="0"/>
              <w:autoSpaceDE/>
              <w:autoSpaceDN/>
              <w:bidi w:val="0"/>
              <w:adjustRightInd w:val="0"/>
              <w:snapToGrid w:val="0"/>
              <w:spacing w:after="0" w:line="360" w:lineRule="auto"/>
              <w:ind w:left="0" w:firstLine="560" w:firstLineChars="200"/>
              <w:jc w:val="center"/>
              <w:textAlignment w:val="auto"/>
              <w:rPr>
                <w:rFonts w:hint="eastAsia" w:ascii="仿宋" w:hAnsi="仿宋" w:eastAsia="仿宋" w:cs="仿宋"/>
                <w:b w:val="0"/>
                <w:color w:val="000000"/>
                <w:sz w:val="28"/>
                <w:szCs w:val="28"/>
                <w:highlight w:val="none"/>
                <w:lang w:val="en-US" w:eastAsia="zh-CN" w:bidi="ar-SA"/>
              </w:rPr>
            </w:pPr>
            <w:r>
              <w:rPr>
                <w:rFonts w:hint="eastAsia" w:ascii="仿宋" w:hAnsi="仿宋" w:eastAsia="仿宋" w:cs="仿宋"/>
                <w:b w:val="0"/>
                <w:color w:val="000000"/>
                <w:sz w:val="28"/>
                <w:szCs w:val="28"/>
                <w:highlight w:val="none"/>
                <w:lang w:val="en-US" w:eastAsia="zh-CN" w:bidi="ar-SA"/>
              </w:rPr>
              <w:t>合计</w:t>
            </w:r>
          </w:p>
        </w:tc>
        <w:tc>
          <w:tcPr>
            <w:tcW w:w="1772" w:type="dxa"/>
            <w:tcBorders>
              <w:top w:val="single" w:color="auto" w:sz="4" w:space="0"/>
              <w:left w:val="single" w:color="auto" w:sz="4" w:space="0"/>
              <w:bottom w:val="single" w:color="auto" w:sz="4" w:space="0"/>
              <w:right w:val="single" w:color="auto" w:sz="4" w:space="0"/>
            </w:tcBorders>
            <w:shd w:val="clear" w:color="auto" w:fill="auto"/>
            <w:tcMar>
              <w:top w:w="90" w:type="dxa"/>
              <w:left w:w="110" w:type="dxa"/>
              <w:bottom w:w="90" w:type="dxa"/>
              <w:right w:w="110" w:type="dxa"/>
            </w:tcMar>
            <w:vAlign w:val="center"/>
          </w:tcPr>
          <w:p w14:paraId="07420DA7">
            <w:pPr>
              <w:keepNext w:val="0"/>
              <w:keepLines w:val="0"/>
              <w:pageBreakBefore w:val="0"/>
              <w:widowControl/>
              <w:kinsoku/>
              <w:wordWrap/>
              <w:overflowPunct/>
              <w:topLinePunct w:val="0"/>
              <w:autoSpaceDE/>
              <w:autoSpaceDN/>
              <w:bidi w:val="0"/>
              <w:adjustRightInd w:val="0"/>
              <w:snapToGrid w:val="0"/>
              <w:spacing w:after="0" w:line="360" w:lineRule="auto"/>
              <w:ind w:left="0" w:leftChars="0" w:firstLine="0" w:firstLineChars="0"/>
              <w:jc w:val="center"/>
              <w:textAlignment w:val="auto"/>
              <w:rPr>
                <w:rFonts w:hint="eastAsia" w:ascii="仿宋" w:hAnsi="仿宋" w:eastAsia="仿宋" w:cs="仿宋"/>
                <w:b w:val="0"/>
                <w:color w:val="000000"/>
                <w:sz w:val="28"/>
                <w:szCs w:val="28"/>
                <w:highlight w:val="none"/>
                <w:lang w:val="en-US" w:eastAsia="zh-CN" w:bidi="ar-SA"/>
              </w:rPr>
            </w:pPr>
            <w:r>
              <w:rPr>
                <w:rFonts w:hint="eastAsia" w:ascii="仿宋" w:hAnsi="仿宋" w:eastAsia="仿宋" w:cs="仿宋"/>
                <w:b w:val="0"/>
                <w:color w:val="000000"/>
                <w:sz w:val="28"/>
                <w:szCs w:val="28"/>
                <w:highlight w:val="none"/>
                <w:lang w:val="en-US" w:eastAsia="zh-CN" w:bidi="ar-SA"/>
              </w:rPr>
              <w:t>1290㎡</w:t>
            </w:r>
          </w:p>
        </w:tc>
        <w:tc>
          <w:tcPr>
            <w:tcW w:w="3728" w:type="dxa"/>
            <w:tcBorders>
              <w:top w:val="single" w:color="auto" w:sz="4" w:space="0"/>
              <w:left w:val="single" w:color="auto" w:sz="4" w:space="0"/>
              <w:bottom w:val="single" w:color="auto" w:sz="4" w:space="0"/>
              <w:right w:val="single" w:color="auto" w:sz="4" w:space="0"/>
            </w:tcBorders>
            <w:shd w:val="clear" w:color="auto" w:fill="auto"/>
            <w:tcMar>
              <w:top w:w="90" w:type="dxa"/>
              <w:left w:w="110" w:type="dxa"/>
              <w:bottom w:w="90" w:type="dxa"/>
              <w:right w:w="110" w:type="dxa"/>
            </w:tcMar>
            <w:vAlign w:val="center"/>
          </w:tcPr>
          <w:p w14:paraId="64BC77D9">
            <w:pPr>
              <w:keepNext w:val="0"/>
              <w:keepLines w:val="0"/>
              <w:pageBreakBefore w:val="0"/>
              <w:widowControl/>
              <w:kinsoku/>
              <w:wordWrap/>
              <w:overflowPunct/>
              <w:topLinePunct w:val="0"/>
              <w:autoSpaceDE/>
              <w:autoSpaceDN/>
              <w:bidi w:val="0"/>
              <w:adjustRightInd w:val="0"/>
              <w:snapToGrid w:val="0"/>
              <w:spacing w:after="0" w:line="360" w:lineRule="auto"/>
              <w:ind w:left="0" w:leftChars="0" w:firstLine="0" w:firstLineChars="0"/>
              <w:jc w:val="center"/>
              <w:textAlignment w:val="auto"/>
              <w:rPr>
                <w:rFonts w:hint="eastAsia" w:ascii="仿宋" w:hAnsi="仿宋" w:eastAsia="仿宋" w:cs="仿宋"/>
                <w:b w:val="0"/>
                <w:color w:val="000000"/>
                <w:sz w:val="28"/>
                <w:szCs w:val="28"/>
                <w:highlight w:val="none"/>
                <w:lang w:val="en-US" w:eastAsia="zh-CN" w:bidi="ar-SA"/>
              </w:rPr>
            </w:pPr>
            <w:r>
              <w:rPr>
                <w:rFonts w:hint="eastAsia" w:ascii="仿宋" w:hAnsi="仿宋" w:eastAsia="仿宋" w:cs="仿宋"/>
                <w:b w:val="0"/>
                <w:color w:val="000000"/>
                <w:sz w:val="28"/>
                <w:szCs w:val="28"/>
                <w:highlight w:val="none"/>
                <w:lang w:val="en-US" w:eastAsia="zh-CN" w:bidi="ar-SA"/>
              </w:rPr>
              <w:t>场馆整体展示以及储藏室设计</w:t>
            </w:r>
          </w:p>
        </w:tc>
      </w:tr>
    </w:tbl>
    <w:p w14:paraId="3D02A6E4">
      <w:pPr>
        <w:keepNext/>
        <w:keepLines/>
        <w:widowControl/>
        <w:kinsoku/>
        <w:wordWrap/>
        <w:overflowPunct/>
        <w:topLinePunct w:val="0"/>
        <w:autoSpaceDE/>
        <w:autoSpaceDN/>
        <w:bidi w:val="0"/>
        <w:adjustRightInd w:val="0"/>
        <w:snapToGrid w:val="0"/>
        <w:spacing w:before="200" w:after="100" w:line="440" w:lineRule="exact"/>
        <w:ind w:firstLine="0"/>
        <w:textAlignment w:val="auto"/>
        <w:outlineLvl w:val="1"/>
        <w:rPr>
          <w:rFonts w:hint="eastAsia" w:ascii="楷体" w:hAnsi="楷体" w:eastAsia="楷体" w:cs="楷体"/>
          <w:b w:val="0"/>
          <w:bCs w:val="0"/>
          <w:color w:val="000000"/>
          <w:sz w:val="28"/>
          <w:szCs w:val="28"/>
          <w:lang w:val="en-US" w:eastAsia="en-US" w:bidi="ar-SA"/>
        </w:rPr>
      </w:pPr>
      <w:r>
        <w:rPr>
          <w:rFonts w:hint="eastAsia" w:ascii="楷体" w:hAnsi="楷体" w:eastAsia="楷体" w:cs="楷体"/>
          <w:b w:val="0"/>
          <w:bCs w:val="0"/>
          <w:color w:val="000000"/>
          <w:sz w:val="28"/>
          <w:szCs w:val="28"/>
          <w:lang w:val="en-US" w:eastAsia="en-US" w:bidi="ar-SA"/>
        </w:rPr>
        <w:t>（二）建设地点</w:t>
      </w:r>
    </w:p>
    <w:p w14:paraId="7BFF6579">
      <w:pPr>
        <w:widowControl/>
        <w:kinsoku/>
        <w:wordWrap/>
        <w:overflowPunct/>
        <w:topLinePunct w:val="0"/>
        <w:autoSpaceDE/>
        <w:autoSpaceDN/>
        <w:bidi w:val="0"/>
        <w:adjustRightInd w:val="0"/>
        <w:snapToGrid w:val="0"/>
        <w:spacing w:after="12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zh-CN" w:bidi="ar-SA"/>
        </w:rPr>
        <w:t>湖南省药品检验检测研究院</w:t>
      </w:r>
      <w:r>
        <w:rPr>
          <w:rFonts w:hint="eastAsia" w:ascii="仿宋" w:hAnsi="仿宋" w:eastAsia="仿宋" w:cs="仿宋"/>
          <w:b w:val="0"/>
          <w:color w:val="000000"/>
          <w:sz w:val="28"/>
          <w:szCs w:val="28"/>
          <w:lang w:val="en-US" w:eastAsia="en-US" w:bidi="ar-SA"/>
        </w:rPr>
        <w:t>相关场馆区域</w:t>
      </w:r>
      <w:r>
        <w:rPr>
          <w:rFonts w:hint="eastAsia" w:ascii="仿宋" w:hAnsi="仿宋" w:eastAsia="仿宋" w:cs="仿宋"/>
          <w:b w:val="0"/>
          <w:color w:val="000000"/>
          <w:sz w:val="28"/>
          <w:szCs w:val="28"/>
          <w:lang w:val="en-US" w:eastAsia="zh-CN" w:bidi="ar-SA"/>
        </w:rPr>
        <w:t>如图：实验楼十二楼与十三楼。</w:t>
      </w:r>
    </w:p>
    <w:p w14:paraId="2F13DCA0">
      <w:pPr>
        <w:keepNext/>
        <w:keepLines/>
        <w:widowControl/>
        <w:kinsoku/>
        <w:wordWrap/>
        <w:overflowPunct/>
        <w:topLinePunct w:val="0"/>
        <w:autoSpaceDE/>
        <w:autoSpaceDN/>
        <w:bidi w:val="0"/>
        <w:adjustRightInd w:val="0"/>
        <w:snapToGrid w:val="0"/>
        <w:spacing w:before="200" w:after="100" w:line="440" w:lineRule="exact"/>
        <w:ind w:firstLine="0"/>
        <w:textAlignment w:val="auto"/>
        <w:outlineLvl w:val="1"/>
        <w:rPr>
          <w:rFonts w:hint="eastAsia" w:ascii="楷体" w:hAnsi="楷体" w:eastAsia="楷体" w:cs="楷体"/>
          <w:b w:val="0"/>
          <w:bCs w:val="0"/>
          <w:color w:val="000000"/>
          <w:sz w:val="28"/>
          <w:szCs w:val="28"/>
          <w:lang w:val="en-US" w:eastAsia="en-US" w:bidi="ar-SA"/>
        </w:rPr>
      </w:pPr>
      <w:r>
        <w:rPr>
          <w:rFonts w:hint="eastAsia" w:ascii="楷体" w:hAnsi="楷体" w:eastAsia="楷体" w:cs="楷体"/>
          <w:b w:val="0"/>
          <w:bCs w:val="0"/>
          <w:color w:val="000000"/>
          <w:sz w:val="28"/>
          <w:szCs w:val="28"/>
          <w:lang w:val="en-US" w:eastAsia="en-US" w:bidi="ar-SA"/>
        </w:rPr>
        <mc:AlternateContent>
          <mc:Choice Requires="wps">
            <w:drawing>
              <wp:anchor distT="0" distB="0" distL="114300" distR="114300" simplePos="0" relativeHeight="251659264" behindDoc="0" locked="0" layoutInCell="1" allowOverlap="1">
                <wp:simplePos x="0" y="0"/>
                <wp:positionH relativeFrom="column">
                  <wp:posOffset>137795</wp:posOffset>
                </wp:positionH>
                <wp:positionV relativeFrom="paragraph">
                  <wp:posOffset>29210</wp:posOffset>
                </wp:positionV>
                <wp:extent cx="5770880" cy="6204585"/>
                <wp:effectExtent l="4445" t="4445" r="15875" b="20320"/>
                <wp:wrapTopAndBottom/>
                <wp:docPr id="2" name="文本框 2"/>
                <wp:cNvGraphicFramePr/>
                <a:graphic xmlns:a="http://schemas.openxmlformats.org/drawingml/2006/main">
                  <a:graphicData uri="http://schemas.microsoft.com/office/word/2010/wordprocessingShape">
                    <wps:wsp>
                      <wps:cNvSpPr txBox="1"/>
                      <wps:spPr>
                        <a:xfrm>
                          <a:off x="1141730" y="1833880"/>
                          <a:ext cx="5770880" cy="6204585"/>
                        </a:xfrm>
                        <a:prstGeom prst="rect">
                          <a:avLst/>
                        </a:prstGeom>
                        <a:solidFill>
                          <a:srgbClr val="FFFFFF"/>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53AD0CE">
                            <w:pPr>
                              <w:widowControl/>
                              <w:spacing w:after="120" w:line="324" w:lineRule="auto"/>
                              <w:ind w:left="0" w:leftChars="0" w:firstLine="0" w:firstLineChars="0"/>
                              <w:jc w:val="center"/>
                              <w:rPr>
                                <w:rFonts w:ascii="宋体" w:hAnsi="宋体" w:eastAsia="宋体" w:cs="Times New Roman"/>
                                <w:color w:val="000000"/>
                                <w:sz w:val="24"/>
                                <w:lang w:val="en-US" w:eastAsia="en-US" w:bidi="ar-SA"/>
                              </w:rPr>
                            </w:pPr>
                            <w:r>
                              <w:rPr>
                                <w:rFonts w:ascii="宋体" w:hAnsi="宋体" w:eastAsia="宋体" w:cs="Times New Roman"/>
                                <w:color w:val="000000"/>
                                <w:sz w:val="24"/>
                                <w:lang w:val="en-US" w:eastAsia="en-US" w:bidi="ar-SA"/>
                              </w:rPr>
                              <w:drawing>
                                <wp:inline distT="0" distB="0" distL="114300" distR="114300">
                                  <wp:extent cx="5574030" cy="2936875"/>
                                  <wp:effectExtent l="0" t="0" r="7620" b="158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5574030" cy="2936875"/>
                                          </a:xfrm>
                                          <a:prstGeom prst="rect">
                                            <a:avLst/>
                                          </a:prstGeom>
                                          <a:noFill/>
                                          <a:ln>
                                            <a:noFill/>
                                          </a:ln>
                                        </pic:spPr>
                                      </pic:pic>
                                    </a:graphicData>
                                  </a:graphic>
                                </wp:inline>
                              </w:drawing>
                            </w:r>
                          </w:p>
                          <w:p w14:paraId="266572B9">
                            <w:pPr>
                              <w:widowControl/>
                              <w:spacing w:after="120" w:line="324" w:lineRule="auto"/>
                              <w:ind w:left="0" w:leftChars="0" w:firstLine="0" w:firstLineChars="0"/>
                              <w:jc w:val="center"/>
                              <w:rPr>
                                <w:rFonts w:ascii="宋体" w:hAnsi="宋体" w:eastAsia="宋体" w:cs="Times New Roman"/>
                                <w:color w:val="000000"/>
                                <w:sz w:val="24"/>
                                <w:lang w:val="en-US" w:eastAsia="en-US" w:bidi="ar-SA"/>
                              </w:rPr>
                            </w:pPr>
                            <w:r>
                              <w:rPr>
                                <w:rFonts w:ascii="宋体" w:hAnsi="宋体" w:eastAsia="宋体" w:cs="Times New Roman"/>
                                <w:color w:val="000000"/>
                                <w:sz w:val="24"/>
                                <w:lang w:val="en-US" w:eastAsia="en-US" w:bidi="ar-SA"/>
                              </w:rPr>
                              <w:drawing>
                                <wp:inline distT="0" distB="0" distL="114300" distR="114300">
                                  <wp:extent cx="5568315" cy="2820670"/>
                                  <wp:effectExtent l="0" t="0" r="13335" b="1778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9"/>
                                          <a:srcRect t="8695"/>
                                          <a:stretch>
                                            <a:fillRect/>
                                          </a:stretch>
                                        </pic:blipFill>
                                        <pic:spPr>
                                          <a:xfrm>
                                            <a:off x="0" y="0"/>
                                            <a:ext cx="5568315" cy="2820670"/>
                                          </a:xfrm>
                                          <a:prstGeom prst="rect">
                                            <a:avLst/>
                                          </a:prstGeom>
                                          <a:noFill/>
                                          <a:ln>
                                            <a:noFill/>
                                          </a:ln>
                                        </pic:spPr>
                                      </pic:pic>
                                    </a:graphicData>
                                  </a:graphic>
                                </wp:inline>
                              </w:drawing>
                            </w:r>
                          </w:p>
                          <w:p w14:paraId="544BB094">
                            <w:pPr>
                              <w:widowControl/>
                              <w:spacing w:after="120" w:line="324" w:lineRule="auto"/>
                              <w:ind w:left="0" w:leftChars="0" w:firstLine="0" w:firstLineChars="0"/>
                              <w:jc w:val="center"/>
                              <w:rPr>
                                <w:rFonts w:hint="default" w:ascii="宋体" w:hAnsi="宋体" w:eastAsia="宋体" w:cs="Times New Roman"/>
                                <w:color w:val="000000"/>
                                <w:sz w:val="24"/>
                                <w:lang w:val="en-US" w:eastAsia="zh-CN" w:bidi="ar-SA"/>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85pt;margin-top:2.3pt;height:488.55pt;width:454.4pt;mso-wrap-distance-bottom:0pt;mso-wrap-distance-top:0pt;z-index:251659264;mso-width-relative:page;mso-height-relative:page;" fillcolor="#FFFFFF" filled="t" stroked="t" coordsize="21600,21600" o:gfxdata="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IGmMQdUAAAAIAQAADwAAAAAAAAABACAAAAAiAAAAZHJzL2Rvd25yZXYueG1sUEsBAhQA&#10;FAAAAAgAh07iQPFYSoNnAgAA0gQAAA4AAAAAAAAAAQAgAAAAJAEAAGRycy9lMm9Eb2MueG1sUEsF&#10;BgAAAAAGAAYAWQEAAP0FAAAAAA==&#10;">
                <v:fill on="t" focussize="0,0"/>
                <v:stroke weight="0.5pt" color="#000000 [3204]" joinstyle="round"/>
                <v:imagedata o:title=""/>
                <o:lock v:ext="edit" aspectratio="f"/>
                <v:textbox>
                  <w:txbxContent>
                    <w:p w14:paraId="253AD0CE">
                      <w:pPr>
                        <w:widowControl/>
                        <w:spacing w:after="120" w:line="324" w:lineRule="auto"/>
                        <w:ind w:left="0" w:leftChars="0" w:firstLine="0" w:firstLineChars="0"/>
                        <w:jc w:val="center"/>
                        <w:rPr>
                          <w:rFonts w:ascii="宋体" w:hAnsi="宋体" w:eastAsia="宋体" w:cs="Times New Roman"/>
                          <w:color w:val="000000"/>
                          <w:sz w:val="24"/>
                          <w:lang w:val="en-US" w:eastAsia="en-US" w:bidi="ar-SA"/>
                        </w:rPr>
                      </w:pPr>
                      <w:r>
                        <w:rPr>
                          <w:rFonts w:ascii="宋体" w:hAnsi="宋体" w:eastAsia="宋体" w:cs="Times New Roman"/>
                          <w:color w:val="000000"/>
                          <w:sz w:val="24"/>
                          <w:lang w:val="en-US" w:eastAsia="en-US" w:bidi="ar-SA"/>
                        </w:rPr>
                        <w:drawing>
                          <wp:inline distT="0" distB="0" distL="114300" distR="114300">
                            <wp:extent cx="5574030" cy="2936875"/>
                            <wp:effectExtent l="0" t="0" r="7620" b="158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5574030" cy="2936875"/>
                                    </a:xfrm>
                                    <a:prstGeom prst="rect">
                                      <a:avLst/>
                                    </a:prstGeom>
                                    <a:noFill/>
                                    <a:ln>
                                      <a:noFill/>
                                    </a:ln>
                                  </pic:spPr>
                                </pic:pic>
                              </a:graphicData>
                            </a:graphic>
                          </wp:inline>
                        </w:drawing>
                      </w:r>
                    </w:p>
                    <w:p w14:paraId="266572B9">
                      <w:pPr>
                        <w:widowControl/>
                        <w:spacing w:after="120" w:line="324" w:lineRule="auto"/>
                        <w:ind w:left="0" w:leftChars="0" w:firstLine="0" w:firstLineChars="0"/>
                        <w:jc w:val="center"/>
                        <w:rPr>
                          <w:rFonts w:ascii="宋体" w:hAnsi="宋体" w:eastAsia="宋体" w:cs="Times New Roman"/>
                          <w:color w:val="000000"/>
                          <w:sz w:val="24"/>
                          <w:lang w:val="en-US" w:eastAsia="en-US" w:bidi="ar-SA"/>
                        </w:rPr>
                      </w:pPr>
                      <w:r>
                        <w:rPr>
                          <w:rFonts w:ascii="宋体" w:hAnsi="宋体" w:eastAsia="宋体" w:cs="Times New Roman"/>
                          <w:color w:val="000000"/>
                          <w:sz w:val="24"/>
                          <w:lang w:val="en-US" w:eastAsia="en-US" w:bidi="ar-SA"/>
                        </w:rPr>
                        <w:drawing>
                          <wp:inline distT="0" distB="0" distL="114300" distR="114300">
                            <wp:extent cx="5568315" cy="2820670"/>
                            <wp:effectExtent l="0" t="0" r="13335" b="1778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9"/>
                                    <a:srcRect t="8695"/>
                                    <a:stretch>
                                      <a:fillRect/>
                                    </a:stretch>
                                  </pic:blipFill>
                                  <pic:spPr>
                                    <a:xfrm>
                                      <a:off x="0" y="0"/>
                                      <a:ext cx="5568315" cy="2820670"/>
                                    </a:xfrm>
                                    <a:prstGeom prst="rect">
                                      <a:avLst/>
                                    </a:prstGeom>
                                    <a:noFill/>
                                    <a:ln>
                                      <a:noFill/>
                                    </a:ln>
                                  </pic:spPr>
                                </pic:pic>
                              </a:graphicData>
                            </a:graphic>
                          </wp:inline>
                        </w:drawing>
                      </w:r>
                    </w:p>
                    <w:p w14:paraId="544BB094">
                      <w:pPr>
                        <w:widowControl/>
                        <w:spacing w:after="120" w:line="324" w:lineRule="auto"/>
                        <w:ind w:left="0" w:leftChars="0" w:firstLine="0" w:firstLineChars="0"/>
                        <w:jc w:val="center"/>
                        <w:rPr>
                          <w:rFonts w:hint="default" w:ascii="宋体" w:hAnsi="宋体" w:eastAsia="宋体" w:cs="Times New Roman"/>
                          <w:color w:val="000000"/>
                          <w:sz w:val="24"/>
                          <w:lang w:val="en-US" w:eastAsia="zh-CN" w:bidi="ar-SA"/>
                        </w:rPr>
                      </w:pPr>
                    </w:p>
                  </w:txbxContent>
                </v:textbox>
                <w10:wrap type="topAndBottom"/>
              </v:shape>
            </w:pict>
          </mc:Fallback>
        </mc:AlternateContent>
      </w:r>
      <w:r>
        <w:rPr>
          <w:rFonts w:hint="eastAsia" w:ascii="楷体" w:hAnsi="楷体" w:eastAsia="楷体" w:cs="楷体"/>
          <w:b w:val="0"/>
          <w:bCs w:val="0"/>
          <w:color w:val="000000"/>
          <w:sz w:val="28"/>
          <w:szCs w:val="28"/>
          <w:lang w:val="en-US" w:eastAsia="en-US" w:bidi="ar-SA"/>
        </w:rPr>
        <w:t>（三）建设定位</w:t>
      </w:r>
    </w:p>
    <w:p w14:paraId="29F79F7E">
      <w:pPr>
        <w:keepNext w:val="0"/>
        <w:keepLines w:val="0"/>
        <w:widowControl/>
        <w:suppressLineNumbers w:val="0"/>
        <w:kinsoku/>
        <w:wordWrap/>
        <w:overflowPunct/>
        <w:topLinePunct w:val="0"/>
        <w:autoSpaceDE/>
        <w:autoSpaceDN/>
        <w:bidi w:val="0"/>
        <w:adjustRightInd w:val="0"/>
        <w:snapToGrid w:val="0"/>
        <w:spacing w:before="0" w:beforeAutospacing="1" w:after="0" w:afterAutospacing="1" w:line="440" w:lineRule="exact"/>
        <w:ind w:left="0" w:right="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本项目拟建设集院史展示、中药标本展示、公众科普教育及标本储藏管理于一体的综合性展示与专业服务空间，全面展现湖南省药品检验检测研究院的发展历程、专业能力、科研成果及行业服务职能，同时突出湖南地域特色、中医药文化特色和中药资源优势。</w:t>
      </w:r>
    </w:p>
    <w:p w14:paraId="6614E57D">
      <w:pPr>
        <w:keepNext w:val="0"/>
        <w:keepLines w:val="0"/>
        <w:widowControl/>
        <w:suppressLineNumbers w:val="0"/>
        <w:kinsoku/>
        <w:wordWrap/>
        <w:overflowPunct/>
        <w:topLinePunct w:val="0"/>
        <w:autoSpaceDE/>
        <w:autoSpaceDN/>
        <w:bidi w:val="0"/>
        <w:adjustRightInd w:val="0"/>
        <w:snapToGrid w:val="0"/>
        <w:spacing w:before="0" w:beforeAutospacing="1" w:after="0" w:afterAutospacing="1" w:line="440" w:lineRule="exact"/>
        <w:ind w:left="0" w:right="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整体建设以研究院发展成果和专业技术能力为基础，以中医药文化、中药资源及特色标本为重要展示内容，并结合药品安全、科学用药、公众科普教育以及标本收藏、储存、管理等实际需求，通过实物、图文、影像、数字多媒体及互动体验等多种展示方式，形成兼具专业展示、标本收藏与储藏、文化传播、科研教学、行业交流、科普教育和参观接待等功能的综合性场馆。</w:t>
      </w:r>
    </w:p>
    <w:p w14:paraId="2B24B470">
      <w:pPr>
        <w:keepNext w:val="0"/>
        <w:keepLines w:val="0"/>
        <w:widowControl/>
        <w:suppressLineNumbers w:val="0"/>
        <w:kinsoku/>
        <w:wordWrap/>
        <w:overflowPunct/>
        <w:topLinePunct w:val="0"/>
        <w:autoSpaceDE/>
        <w:autoSpaceDN/>
        <w:bidi w:val="0"/>
        <w:adjustRightInd w:val="0"/>
        <w:snapToGrid w:val="0"/>
        <w:spacing w:before="0" w:beforeAutospacing="1" w:after="0" w:afterAutospacing="1" w:line="440" w:lineRule="exact"/>
        <w:ind w:left="0" w:right="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项目整体应统筹展示空间与标本储藏空间的功能关系，在满足参观展示需求的同时，兼顾标本分类存放、日常管理、科研使用及后续补充扩展等需求。整体设计应体现湖南地域文化特色与检验检测行业属性，塑造科学、专业、权威且具有文化内涵的展示形象，打造成为展示研究院综合实力、保存中药标本资源、传播湖湘中医药文化、开展科研教学、行业交流与公众科普的重要平台。</w:t>
      </w:r>
    </w:p>
    <w:p w14:paraId="7BC2828E">
      <w:pPr>
        <w:keepNext/>
        <w:keepLines/>
        <w:widowControl/>
        <w:kinsoku/>
        <w:wordWrap/>
        <w:overflowPunct/>
        <w:topLinePunct w:val="0"/>
        <w:autoSpaceDE/>
        <w:autoSpaceDN/>
        <w:bidi w:val="0"/>
        <w:adjustRightInd w:val="0"/>
        <w:snapToGrid w:val="0"/>
        <w:spacing w:before="200" w:after="100" w:line="440" w:lineRule="exact"/>
        <w:ind w:firstLine="0"/>
        <w:textAlignment w:val="auto"/>
        <w:outlineLvl w:val="1"/>
        <w:rPr>
          <w:rFonts w:hint="eastAsia" w:ascii="楷体" w:hAnsi="楷体" w:eastAsia="楷体" w:cs="楷体"/>
          <w:b w:val="0"/>
          <w:bCs w:val="0"/>
          <w:color w:val="000000"/>
          <w:sz w:val="28"/>
          <w:szCs w:val="28"/>
          <w:lang w:val="en-US" w:eastAsia="en-US" w:bidi="ar-SA"/>
        </w:rPr>
      </w:pPr>
      <w:r>
        <w:rPr>
          <w:rFonts w:hint="eastAsia" w:ascii="楷体" w:hAnsi="楷体" w:eastAsia="楷体" w:cs="楷体"/>
          <w:b w:val="0"/>
          <w:bCs w:val="0"/>
          <w:color w:val="000000"/>
          <w:sz w:val="28"/>
          <w:szCs w:val="28"/>
          <w:lang w:val="en-US" w:eastAsia="en-US" w:bidi="ar-SA"/>
        </w:rPr>
        <w:t>（四）设计理念及原则</w:t>
      </w:r>
    </w:p>
    <w:p w14:paraId="6F3FDDE4">
      <w:pPr>
        <w:keepNext/>
        <w:keepLines/>
        <w:widowControl/>
        <w:kinsoku/>
        <w:wordWrap/>
        <w:overflowPunct/>
        <w:topLinePunct w:val="0"/>
        <w:autoSpaceDE/>
        <w:autoSpaceDN/>
        <w:bidi w:val="0"/>
        <w:adjustRightInd w:val="0"/>
        <w:snapToGrid w:val="0"/>
        <w:spacing w:before="140" w:after="60" w:line="440" w:lineRule="exact"/>
        <w:ind w:left="0" w:firstLine="562" w:firstLineChars="200"/>
        <w:textAlignment w:val="auto"/>
        <w:outlineLvl w:val="2"/>
        <w:rPr>
          <w:rFonts w:hint="eastAsia" w:ascii="仿宋" w:hAnsi="仿宋" w:eastAsia="仿宋" w:cs="仿宋"/>
          <w:b/>
          <w:bCs/>
          <w:color w:val="000000"/>
          <w:sz w:val="28"/>
          <w:szCs w:val="28"/>
          <w:lang w:val="en-US" w:eastAsia="en-US" w:bidi="ar-SA"/>
        </w:rPr>
      </w:pPr>
      <w:r>
        <w:rPr>
          <w:rFonts w:hint="eastAsia" w:ascii="仿宋" w:hAnsi="仿宋" w:eastAsia="仿宋" w:cs="仿宋"/>
          <w:b/>
          <w:bCs/>
          <w:color w:val="000000"/>
          <w:sz w:val="28"/>
          <w:szCs w:val="28"/>
          <w:lang w:val="en-US" w:eastAsia="zh-CN" w:bidi="ar-SA"/>
        </w:rPr>
        <w:t>1.</w:t>
      </w:r>
      <w:r>
        <w:rPr>
          <w:rFonts w:hint="eastAsia" w:ascii="仿宋" w:hAnsi="仿宋" w:eastAsia="仿宋" w:cs="仿宋"/>
          <w:b/>
          <w:bCs/>
          <w:color w:val="000000"/>
          <w:sz w:val="28"/>
          <w:szCs w:val="28"/>
          <w:lang w:val="en-US" w:eastAsia="en-US" w:bidi="ar-SA"/>
        </w:rPr>
        <w:t xml:space="preserve"> 总设计理念</w:t>
      </w:r>
    </w:p>
    <w:p w14:paraId="54DF0E14">
      <w:pPr>
        <w:widowControl/>
        <w:kinsoku/>
        <w:wordWrap/>
        <w:overflowPunct/>
        <w:topLinePunct w:val="0"/>
        <w:autoSpaceDE/>
        <w:autoSpaceDN/>
        <w:bidi w:val="0"/>
        <w:adjustRightInd w:val="0"/>
        <w:snapToGrid w:val="0"/>
        <w:spacing w:after="6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（1）设计依据须符合国家、行业及地方现行相关技术规范、标准和规程。</w:t>
      </w:r>
    </w:p>
    <w:p w14:paraId="4F59CFDE">
      <w:pPr>
        <w:widowControl/>
        <w:kinsoku/>
        <w:wordWrap/>
        <w:overflowPunct/>
        <w:topLinePunct w:val="0"/>
        <w:autoSpaceDE/>
        <w:autoSpaceDN/>
        <w:bidi w:val="0"/>
        <w:adjustRightInd w:val="0"/>
        <w:snapToGrid w:val="0"/>
        <w:spacing w:after="6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（2）采用的主要技术标准应符合现行建筑、装饰装修、消防、电气、智能化、节能、环保及展览展示等相关规范。</w:t>
      </w:r>
    </w:p>
    <w:p w14:paraId="7755C575">
      <w:pPr>
        <w:widowControl/>
        <w:kinsoku/>
        <w:wordWrap/>
        <w:overflowPunct/>
        <w:topLinePunct w:val="0"/>
        <w:autoSpaceDE/>
        <w:autoSpaceDN/>
        <w:bidi w:val="0"/>
        <w:adjustRightInd w:val="0"/>
        <w:snapToGrid w:val="0"/>
        <w:spacing w:after="6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（3）坚持安全、专业、先进、适用、经济和可持续的设计原则。</w:t>
      </w:r>
    </w:p>
    <w:p w14:paraId="70317A2C">
      <w:pPr>
        <w:widowControl/>
        <w:kinsoku/>
        <w:wordWrap/>
        <w:overflowPunct/>
        <w:topLinePunct w:val="0"/>
        <w:autoSpaceDE/>
        <w:autoSpaceDN/>
        <w:bidi w:val="0"/>
        <w:adjustRightInd w:val="0"/>
        <w:snapToGrid w:val="0"/>
        <w:spacing w:after="6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（4）充分考虑场馆的整体统一性，并根据院史、中药标本</w:t>
      </w:r>
      <w:r>
        <w:rPr>
          <w:rFonts w:hint="eastAsia" w:ascii="仿宋" w:hAnsi="仿宋" w:eastAsia="仿宋" w:cs="仿宋"/>
          <w:b w:val="0"/>
          <w:color w:val="000000"/>
          <w:sz w:val="28"/>
          <w:szCs w:val="28"/>
          <w:lang w:val="en-US" w:eastAsia="zh-CN" w:bidi="ar-SA"/>
        </w:rPr>
        <w:t>展示</w:t>
      </w:r>
      <w:r>
        <w:rPr>
          <w:rFonts w:hint="eastAsia" w:ascii="仿宋" w:hAnsi="仿宋" w:eastAsia="仿宋" w:cs="仿宋"/>
          <w:b w:val="0"/>
          <w:color w:val="000000"/>
          <w:sz w:val="28"/>
          <w:szCs w:val="28"/>
          <w:lang w:val="en-US" w:eastAsia="en-US" w:bidi="ar-SA"/>
        </w:rPr>
        <w:t>和</w:t>
      </w:r>
      <w:r>
        <w:rPr>
          <w:rFonts w:hint="eastAsia" w:ascii="仿宋" w:hAnsi="仿宋" w:eastAsia="仿宋" w:cs="仿宋"/>
          <w:b w:val="0"/>
          <w:color w:val="000000"/>
          <w:sz w:val="28"/>
          <w:szCs w:val="28"/>
          <w:lang w:val="en-US" w:eastAsia="zh-CN" w:bidi="ar-SA"/>
        </w:rPr>
        <w:t>科普教育性</w:t>
      </w:r>
      <w:r>
        <w:rPr>
          <w:rFonts w:hint="eastAsia" w:ascii="仿宋" w:hAnsi="仿宋" w:eastAsia="仿宋" w:cs="仿宋"/>
          <w:b w:val="0"/>
          <w:color w:val="000000"/>
          <w:sz w:val="28"/>
          <w:szCs w:val="28"/>
          <w:lang w:val="en-US" w:eastAsia="en-US" w:bidi="ar-SA"/>
        </w:rPr>
        <w:t>的不同功能形成差异化空间体验。</w:t>
      </w:r>
    </w:p>
    <w:p w14:paraId="432F7AB9">
      <w:pPr>
        <w:widowControl/>
        <w:kinsoku/>
        <w:wordWrap/>
        <w:overflowPunct/>
        <w:topLinePunct w:val="0"/>
        <w:autoSpaceDE/>
        <w:autoSpaceDN/>
        <w:bidi w:val="0"/>
        <w:adjustRightInd w:val="0"/>
        <w:snapToGrid w:val="0"/>
        <w:spacing w:after="6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（5）合理运用声、光、电、数字多媒体、互动设备和信息化系统，避免展示手段与展示内容脱节。</w:t>
      </w:r>
    </w:p>
    <w:p w14:paraId="44368DEE">
      <w:pPr>
        <w:widowControl/>
        <w:kinsoku/>
        <w:wordWrap/>
        <w:overflowPunct/>
        <w:topLinePunct w:val="0"/>
        <w:autoSpaceDE/>
        <w:autoSpaceDN/>
        <w:bidi w:val="0"/>
        <w:adjustRightInd w:val="0"/>
        <w:snapToGrid w:val="0"/>
        <w:spacing w:after="6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（6）充分考虑后期运营、内容更新、设备维护、标本增加和数字资源扩充需求。</w:t>
      </w:r>
    </w:p>
    <w:p w14:paraId="5CECF072">
      <w:pPr>
        <w:widowControl/>
        <w:kinsoku/>
        <w:wordWrap/>
        <w:overflowPunct/>
        <w:topLinePunct w:val="0"/>
        <w:autoSpaceDE/>
        <w:autoSpaceDN/>
        <w:bidi w:val="0"/>
        <w:adjustRightInd w:val="0"/>
        <w:snapToGrid w:val="0"/>
        <w:spacing w:after="60" w:line="440" w:lineRule="exact"/>
        <w:ind w:left="0" w:firstLine="560" w:firstLineChars="200"/>
        <w:jc w:val="left"/>
        <w:textAlignment w:val="auto"/>
        <w:rPr>
          <w:rFonts w:hint="eastAsia" w:ascii="仿宋" w:hAnsi="仿宋" w:eastAsia="仿宋" w:cs="仿宋"/>
          <w:b w:val="0"/>
          <w:color w:val="000000"/>
          <w:sz w:val="28"/>
          <w:szCs w:val="28"/>
          <w:lang w:val="en-US" w:eastAsia="en-US" w:bidi="ar-SA"/>
        </w:rPr>
      </w:pPr>
      <w:r>
        <w:rPr>
          <w:rFonts w:hint="eastAsia" w:ascii="仿宋" w:hAnsi="仿宋" w:eastAsia="仿宋" w:cs="仿宋"/>
          <w:b w:val="0"/>
          <w:color w:val="000000"/>
          <w:sz w:val="28"/>
          <w:szCs w:val="28"/>
          <w:lang w:val="en-US" w:eastAsia="en-US" w:bidi="ar-SA"/>
        </w:rPr>
        <w:t>（7）设计应体现湖南地域文化、中医药文化及现代检验检测科技属性。</w:t>
      </w:r>
    </w:p>
    <w:p w14:paraId="161D4F41">
      <w:pPr>
        <w:keepNext/>
        <w:keepLines/>
        <w:widowControl/>
        <w:kinsoku/>
        <w:wordWrap/>
        <w:overflowPunct/>
        <w:topLinePunct w:val="0"/>
        <w:autoSpaceDE/>
        <w:autoSpaceDN/>
        <w:bidi w:val="0"/>
        <w:adjustRightInd w:val="0"/>
        <w:snapToGrid w:val="0"/>
        <w:spacing w:before="140" w:after="60" w:line="440" w:lineRule="exact"/>
        <w:ind w:left="0" w:firstLine="562" w:firstLineChars="200"/>
        <w:textAlignment w:val="auto"/>
        <w:outlineLvl w:val="2"/>
        <w:rPr>
          <w:rFonts w:hint="eastAsia" w:ascii="仿宋" w:hAnsi="仿宋" w:eastAsia="仿宋" w:cs="仿宋"/>
          <w:b/>
          <w:bCs/>
          <w:color w:val="000000"/>
          <w:sz w:val="28"/>
          <w:szCs w:val="28"/>
          <w:lang w:val="en-US" w:eastAsia="zh-CN" w:bidi="ar-SA"/>
        </w:rPr>
      </w:pPr>
      <w:r>
        <w:rPr>
          <w:rFonts w:hint="eastAsia" w:ascii="仿宋" w:hAnsi="仿宋" w:eastAsia="仿宋" w:cs="仿宋"/>
          <w:b/>
          <w:bCs/>
          <w:color w:val="000000"/>
          <w:sz w:val="28"/>
          <w:szCs w:val="28"/>
          <w:lang w:val="en-US" w:eastAsia="zh-CN" w:bidi="ar-SA"/>
        </w:rPr>
        <w:t>2.总体设计原则</w:t>
      </w:r>
    </w:p>
    <w:p w14:paraId="7E448366">
      <w:pPr>
        <w:keepNext w:val="0"/>
        <w:keepLines w:val="0"/>
        <w:widowControl/>
        <w:suppressLineNumbers w:val="0"/>
        <w:kinsoku/>
        <w:wordWrap/>
        <w:overflowPunct/>
        <w:topLinePunct w:val="0"/>
        <w:autoSpaceDE/>
        <w:autoSpaceDN/>
        <w:bidi w:val="0"/>
        <w:adjustRightInd w:val="0"/>
        <w:snapToGrid w:val="0"/>
        <w:spacing w:before="0" w:beforeAutospacing="1" w:after="0" w:afterAutospacing="1" w:line="440" w:lineRule="exact"/>
        <w:ind w:left="0" w:right="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场馆整体规划与设计应统筹院史展示、中药专业展示、公众科普教育及标本储藏管理等功能，在保持整体空间风格、视觉形象和展示语言协调统一的基础上，形成各具特色、相互衔接、功能清晰的空间体系。</w:t>
      </w:r>
    </w:p>
    <w:p w14:paraId="4E4D2668">
      <w:pPr>
        <w:keepNext w:val="0"/>
        <w:keepLines w:val="0"/>
        <w:widowControl/>
        <w:suppressLineNumbers w:val="0"/>
        <w:kinsoku/>
        <w:wordWrap/>
        <w:overflowPunct/>
        <w:topLinePunct w:val="0"/>
        <w:autoSpaceDE/>
        <w:autoSpaceDN/>
        <w:bidi w:val="0"/>
        <w:adjustRightInd w:val="0"/>
        <w:snapToGrid w:val="0"/>
        <w:spacing w:before="0" w:beforeAutospacing="1" w:after="0" w:afterAutospacing="1" w:line="440" w:lineRule="exact"/>
        <w:ind w:left="0" w:right="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设计应充分体现湖南省药品检验检测研究院的专业性、科学性、权威性和科研属性，围绕研究院发展历程、技术能力、科研成果、中药资源、中医药文化及公众科普等内容进行系统展示，同时兼顾标本收藏、分类储存、科研使用、日常管理等实际需求，满足文化传承、专业展示、科研教学、行业交流和社会教育等多重功能。</w:t>
      </w:r>
    </w:p>
    <w:p w14:paraId="77879D8A">
      <w:pPr>
        <w:keepNext w:val="0"/>
        <w:keepLines w:val="0"/>
        <w:widowControl/>
        <w:suppressLineNumbers w:val="0"/>
        <w:kinsoku/>
        <w:wordWrap/>
        <w:overflowPunct/>
        <w:topLinePunct w:val="0"/>
        <w:autoSpaceDE/>
        <w:autoSpaceDN/>
        <w:bidi w:val="0"/>
        <w:adjustRightInd w:val="0"/>
        <w:snapToGrid w:val="0"/>
        <w:spacing w:before="0" w:beforeAutospacing="1" w:after="0" w:afterAutospacing="1" w:line="440" w:lineRule="exact"/>
        <w:ind w:left="0" w:right="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整体空间应充分挖掘湖南文化和中医药文化等特色元素，将传统文化内涵与现代检验检测科技属性相结合，形成具有湖南地域辨识度和研究院自身特色的展示与专业储藏空间。</w:t>
      </w:r>
    </w:p>
    <w:p w14:paraId="18CFC3B6">
      <w:pPr>
        <w:keepNext w:val="0"/>
        <w:keepLines w:val="0"/>
        <w:widowControl/>
        <w:suppressLineNumbers w:val="0"/>
        <w:kinsoku/>
        <w:wordWrap/>
        <w:overflowPunct/>
        <w:topLinePunct w:val="0"/>
        <w:autoSpaceDE/>
        <w:autoSpaceDN/>
        <w:bidi w:val="0"/>
        <w:adjustRightInd w:val="0"/>
        <w:snapToGrid w:val="0"/>
        <w:spacing w:before="0" w:beforeAutospacing="1" w:after="0" w:afterAutospacing="1" w:line="440" w:lineRule="exact"/>
        <w:ind w:left="0" w:right="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展示形式应坚持内容与形式相统一，以实物、标本、档案、图片及专业资料展示为基础，合理运用声、光、电、数字多媒体、互动查询、智慧沙盘、影像及互动体验等现代展示手段，增强展示内容的直观性、可读性、互动性和现场体验感，避免技术手段与展示内容脱节。</w:t>
      </w:r>
    </w:p>
    <w:p w14:paraId="411E226C">
      <w:pPr>
        <w:keepNext w:val="0"/>
        <w:keepLines w:val="0"/>
        <w:widowControl/>
        <w:suppressLineNumbers w:val="0"/>
        <w:kinsoku/>
        <w:wordWrap/>
        <w:overflowPunct/>
        <w:topLinePunct w:val="0"/>
        <w:autoSpaceDE/>
        <w:autoSpaceDN/>
        <w:bidi w:val="0"/>
        <w:adjustRightInd w:val="0"/>
        <w:snapToGrid w:val="0"/>
        <w:spacing w:before="0" w:beforeAutospacing="1" w:after="0" w:afterAutospacing="1" w:line="440" w:lineRule="exact"/>
        <w:ind w:left="0" w:right="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针对专业性较强的中药、药品及检验检测知识，应在保证内容科学、准确的基础上，根据不同参观对象进行通俗化、可视化表达，兼顾专业人员、行业人员、普通公众、青少年及研学团队等不同群体的参观和学习需求。</w:t>
      </w:r>
    </w:p>
    <w:p w14:paraId="48F9C825">
      <w:pPr>
        <w:keepNext w:val="0"/>
        <w:keepLines w:val="0"/>
        <w:widowControl/>
        <w:suppressLineNumbers w:val="0"/>
        <w:kinsoku/>
        <w:wordWrap/>
        <w:overflowPunct/>
        <w:topLinePunct w:val="0"/>
        <w:autoSpaceDE/>
        <w:autoSpaceDN/>
        <w:bidi w:val="0"/>
        <w:adjustRightInd w:val="0"/>
        <w:snapToGrid w:val="0"/>
        <w:spacing w:before="0" w:beforeAutospacing="1" w:after="0" w:afterAutospacing="1" w:line="440" w:lineRule="exact"/>
        <w:ind w:left="0" w:right="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设计应充分考虑标本展示与储藏环境、分类管理、保存条件、安全防护、设备运行、人员使用及后期运营维护等实际需求，并满足后续标本增加、展品替换、展示内容更新、科研成果补充、科普活动调整及数字资源扩展等需要。标本储藏空间应与展示、科研及管理功能合理衔接，并预留后续馆藏增长和管理升级条件。</w:t>
      </w:r>
    </w:p>
    <w:p w14:paraId="6DE4830A">
      <w:pPr>
        <w:keepNext w:val="0"/>
        <w:keepLines w:val="0"/>
        <w:widowControl/>
        <w:suppressLineNumbers w:val="0"/>
        <w:kinsoku/>
        <w:wordWrap/>
        <w:overflowPunct/>
        <w:topLinePunct w:val="0"/>
        <w:autoSpaceDE/>
        <w:autoSpaceDN/>
        <w:bidi w:val="0"/>
        <w:adjustRightInd w:val="0"/>
        <w:snapToGrid w:val="0"/>
        <w:spacing w:before="0" w:beforeAutospacing="1" w:after="0" w:afterAutospacing="1" w:line="440" w:lineRule="exact"/>
        <w:ind w:left="0" w:right="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整体设计风格应做到庄重、简洁、现代、专业，同时兼具文化性、科技感和亲和力，形成具有统一品牌形象、清晰展示逻辑、良好参观体验及完善标本储藏功能的综合性场馆。</w:t>
      </w:r>
    </w:p>
    <w:p w14:paraId="03AA4C17">
      <w:pPr>
        <w:keepNext/>
        <w:keepLines/>
        <w:widowControl/>
        <w:kinsoku/>
        <w:wordWrap/>
        <w:overflowPunct/>
        <w:topLinePunct w:val="0"/>
        <w:autoSpaceDE/>
        <w:autoSpaceDN/>
        <w:bidi w:val="0"/>
        <w:adjustRightInd w:val="0"/>
        <w:snapToGrid w:val="0"/>
        <w:spacing w:before="200" w:after="100" w:line="440" w:lineRule="exact"/>
        <w:ind w:firstLine="0"/>
        <w:textAlignment w:val="auto"/>
        <w:outlineLvl w:val="1"/>
        <w:rPr>
          <w:rFonts w:hint="eastAsia" w:ascii="楷体" w:hAnsi="楷体" w:eastAsia="楷体" w:cs="楷体"/>
          <w:b w:val="0"/>
          <w:bCs w:val="0"/>
          <w:color w:val="000000"/>
          <w:sz w:val="28"/>
          <w:szCs w:val="28"/>
          <w:lang w:val="en-US" w:eastAsia="en-US" w:bidi="ar-SA"/>
        </w:rPr>
      </w:pPr>
      <w:r>
        <w:rPr>
          <w:rFonts w:hint="eastAsia" w:ascii="楷体" w:hAnsi="楷体" w:eastAsia="楷体" w:cs="楷体"/>
          <w:b w:val="0"/>
          <w:bCs w:val="0"/>
          <w:color w:val="000000"/>
          <w:sz w:val="28"/>
          <w:szCs w:val="28"/>
          <w:lang w:val="en-US" w:eastAsia="zh-CN" w:bidi="ar-SA"/>
        </w:rPr>
        <w:t>（五）</w:t>
      </w:r>
      <w:r>
        <w:rPr>
          <w:rFonts w:hint="eastAsia" w:ascii="楷体" w:hAnsi="楷体" w:eastAsia="楷体" w:cs="楷体"/>
          <w:b w:val="0"/>
          <w:bCs w:val="0"/>
          <w:color w:val="000000"/>
          <w:sz w:val="28"/>
          <w:szCs w:val="28"/>
          <w:lang w:val="en-US" w:eastAsia="en-US" w:bidi="ar-SA"/>
        </w:rPr>
        <w:t>设计形式和内容</w:t>
      </w:r>
    </w:p>
    <w:p w14:paraId="11F8F016">
      <w:pPr>
        <w:keepNext w:val="0"/>
        <w:keepLines w:val="0"/>
        <w:widowControl/>
        <w:suppressLineNumbers w:val="0"/>
        <w:kinsoku/>
        <w:wordWrap/>
        <w:overflowPunct/>
        <w:topLinePunct w:val="0"/>
        <w:autoSpaceDE/>
        <w:autoSpaceDN/>
        <w:bidi w:val="0"/>
        <w:adjustRightInd w:val="0"/>
        <w:snapToGrid w:val="0"/>
        <w:spacing w:before="0" w:beforeAutospacing="1" w:after="0" w:afterAutospacing="1" w:line="440" w:lineRule="exact"/>
        <w:ind w:left="0" w:right="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场馆（中药标本馆、院史馆、科普馆）整体布以及标本储藏空间的功能规划应结合研究院自身发展历程、职能定位、科研技术能力及中药检验检测专业特色，对展示内容、空间布局、参观动线、储藏管理和展示形式进行统一规划，形成具有整体性、专业性、文化性和科技感的综合性空间。</w:t>
      </w:r>
    </w:p>
    <w:p w14:paraId="73446816">
      <w:pPr>
        <w:keepNext w:val="0"/>
        <w:keepLines w:val="0"/>
        <w:widowControl/>
        <w:suppressLineNumbers w:val="0"/>
        <w:kinsoku/>
        <w:wordWrap/>
        <w:overflowPunct/>
        <w:topLinePunct w:val="0"/>
        <w:autoSpaceDE/>
        <w:autoSpaceDN/>
        <w:bidi w:val="0"/>
        <w:adjustRightInd w:val="0"/>
        <w:snapToGrid w:val="0"/>
        <w:spacing w:before="0" w:beforeAutospacing="1" w:after="0" w:afterAutospacing="1" w:line="440" w:lineRule="exact"/>
        <w:ind w:left="0" w:right="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院史相关内容应围绕研究院的发展历程、机构职能、技术能力、科研成果、党建文化及未来发展等方面进行整体展示，全面体现研究院的发展积累、专业能力和机构形象。</w:t>
      </w:r>
    </w:p>
    <w:p w14:paraId="69CBA72F">
      <w:pPr>
        <w:keepNext w:val="0"/>
        <w:keepLines w:val="0"/>
        <w:widowControl/>
        <w:suppressLineNumbers w:val="0"/>
        <w:kinsoku/>
        <w:wordWrap/>
        <w:overflowPunct/>
        <w:topLinePunct w:val="0"/>
        <w:autoSpaceDE/>
        <w:autoSpaceDN/>
        <w:bidi w:val="0"/>
        <w:adjustRightInd w:val="0"/>
        <w:snapToGrid w:val="0"/>
        <w:spacing w:before="0" w:beforeAutospacing="1" w:after="0" w:afterAutospacing="1" w:line="440" w:lineRule="exact"/>
        <w:ind w:left="0" w:right="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中药标本相关内容应立足湖南、辐射华中、面向全国，以湖南中医药历史文化、中药资源及实体标本展示为核心，系统展示中医药文化、湖南特色中药资源、华中地区中药资源以及全国代表性中药材，并结合药材鉴别、炮制、药用植物等相关专业知识，形成具有湖南特色和检验检测专业特色的中药展示体系。</w:t>
      </w:r>
    </w:p>
    <w:p w14:paraId="0DD8E7CE">
      <w:pPr>
        <w:keepNext w:val="0"/>
        <w:keepLines w:val="0"/>
        <w:widowControl/>
        <w:suppressLineNumbers w:val="0"/>
        <w:kinsoku/>
        <w:wordWrap/>
        <w:overflowPunct/>
        <w:topLinePunct w:val="0"/>
        <w:autoSpaceDE/>
        <w:autoSpaceDN/>
        <w:bidi w:val="0"/>
        <w:adjustRightInd w:val="0"/>
        <w:snapToGrid w:val="0"/>
        <w:spacing w:before="0" w:beforeAutospacing="1" w:after="0" w:afterAutospacing="1" w:line="440" w:lineRule="exact"/>
        <w:ind w:left="0" w:right="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标本储藏空间应满足各类中药标本、实物资料及相关研究样本的分类收藏、规范储存、日常管理和科研调用等需求，并与中药标本展示、科研教学及后期标本补充形成有效衔接。空间规划应充分考虑不同类型标本的保存特点、储藏安全、取用管理、维护操作及后续馆藏增长需求，为标本资源的长期保存和规范管理提供保障。</w:t>
      </w:r>
    </w:p>
    <w:p w14:paraId="166ABC91">
      <w:pPr>
        <w:keepNext w:val="0"/>
        <w:keepLines w:val="0"/>
        <w:widowControl/>
        <w:suppressLineNumbers w:val="0"/>
        <w:kinsoku/>
        <w:wordWrap/>
        <w:overflowPunct/>
        <w:topLinePunct w:val="0"/>
        <w:autoSpaceDE/>
        <w:autoSpaceDN/>
        <w:bidi w:val="0"/>
        <w:adjustRightInd w:val="0"/>
        <w:snapToGrid w:val="0"/>
        <w:spacing w:before="0" w:beforeAutospacing="1" w:after="0" w:afterAutospacing="1" w:line="440" w:lineRule="exact"/>
        <w:ind w:left="0" w:right="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科普相关内容应面向普通公众、青少年及研学团队，以科学认知、安全用药、健康科普、互动参与和科研成果传播为重点，将专业知识转化为通俗、直观、易理解的科普内容，并结合互动体验、科普宣讲等方式，提高场馆的参与性、趣味性和教育功能。同时展示研究院具有代表性的科研成果、专家团队、科研平台及技术成果，使公众了解检验检测工作与药品安全、公众健康之间的关系。</w:t>
      </w:r>
    </w:p>
    <w:p w14:paraId="50891FB9">
      <w:pPr>
        <w:keepNext w:val="0"/>
        <w:keepLines w:val="0"/>
        <w:widowControl/>
        <w:suppressLineNumbers w:val="0"/>
        <w:kinsoku/>
        <w:wordWrap/>
        <w:overflowPunct/>
        <w:topLinePunct w:val="0"/>
        <w:autoSpaceDE/>
        <w:autoSpaceDN/>
        <w:bidi w:val="0"/>
        <w:adjustRightInd w:val="0"/>
        <w:snapToGrid w:val="0"/>
        <w:spacing w:before="0" w:beforeAutospacing="1" w:after="0" w:afterAutospacing="1" w:line="440" w:lineRule="exact"/>
        <w:ind w:left="0" w:right="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整体空间设计应充分体现湖南地域文化、湖湘文化、中医药文化与现代检验检测科技属性，场馆在整体视觉形象、空间语言和导视体系上保持协调统一，同时根据院史展示、中药专业展示、公众科普教育及标本储藏管理等不同功能形成合理分区和差异化空间体验。</w:t>
      </w:r>
    </w:p>
    <w:p w14:paraId="4287B826">
      <w:pPr>
        <w:keepNext w:val="0"/>
        <w:keepLines w:val="0"/>
        <w:widowControl/>
        <w:suppressLineNumbers w:val="0"/>
        <w:kinsoku/>
        <w:wordWrap/>
        <w:overflowPunct/>
        <w:topLinePunct w:val="0"/>
        <w:autoSpaceDE/>
        <w:autoSpaceDN/>
        <w:bidi w:val="0"/>
        <w:adjustRightInd w:val="0"/>
        <w:snapToGrid w:val="0"/>
        <w:spacing w:before="0" w:beforeAutospacing="1" w:after="0" w:afterAutospacing="1" w:line="440" w:lineRule="exact"/>
        <w:ind w:left="0" w:right="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设计过程中应充分考虑领导调研、专业参观、行业交流、科研教学、社会公众参观、青少年研学、科普活动及专题宣讲等多种使用场景，并兼顾现有建筑条件、消防安全、无障碍通行、灯光照明、展品与标本保存、标本储藏环境、设备安装及运营维护等实际需求。</w:t>
      </w:r>
    </w:p>
    <w:p w14:paraId="39EB5716">
      <w:pPr>
        <w:keepNext w:val="0"/>
        <w:keepLines w:val="0"/>
        <w:widowControl/>
        <w:suppressLineNumbers w:val="0"/>
        <w:kinsoku/>
        <w:wordWrap/>
        <w:overflowPunct/>
        <w:topLinePunct w:val="0"/>
        <w:autoSpaceDE/>
        <w:autoSpaceDN/>
        <w:bidi w:val="0"/>
        <w:adjustRightInd w:val="0"/>
        <w:snapToGrid w:val="0"/>
        <w:spacing w:before="0" w:beforeAutospacing="1" w:after="0" w:afterAutospacing="1" w:line="440" w:lineRule="exact"/>
        <w:ind w:left="0" w:right="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各展示区域、储藏空间及数字系统应具备一定的灵活性、可更新性和可扩展性，为后续标本增加、馆藏扩充、展品替换、科研成果更新、科普内容调整、研学课程变化及数字资源扩充预留必要条件。所有历史资料、人物信息、图片、典籍、科研数据、标本信息及专业科普内容等，均以需求方最终提供或审定的资料为准。</w:t>
      </w:r>
    </w:p>
    <w:p w14:paraId="66FE762E">
      <w:pPr>
        <w:keepNext/>
        <w:keepLines/>
        <w:widowControl/>
        <w:kinsoku/>
        <w:wordWrap/>
        <w:overflowPunct/>
        <w:topLinePunct w:val="0"/>
        <w:autoSpaceDE/>
        <w:autoSpaceDN/>
        <w:bidi w:val="0"/>
        <w:adjustRightInd w:val="0"/>
        <w:snapToGrid w:val="0"/>
        <w:spacing w:before="200" w:after="100" w:line="440" w:lineRule="exact"/>
        <w:ind w:firstLine="0"/>
        <w:textAlignment w:val="auto"/>
        <w:outlineLvl w:val="1"/>
        <w:rPr>
          <w:rFonts w:hint="eastAsia" w:ascii="楷体" w:hAnsi="楷体" w:eastAsia="楷体" w:cs="楷体"/>
          <w:b w:val="0"/>
          <w:bCs w:val="0"/>
          <w:color w:val="000000"/>
          <w:sz w:val="28"/>
          <w:szCs w:val="28"/>
          <w:lang w:val="en-US" w:eastAsia="zh-CN" w:bidi="ar-SA"/>
        </w:rPr>
      </w:pPr>
      <w:r>
        <w:rPr>
          <w:rFonts w:hint="eastAsia" w:ascii="楷体" w:hAnsi="楷体" w:eastAsia="楷体" w:cs="楷体"/>
          <w:b w:val="0"/>
          <w:bCs w:val="0"/>
          <w:color w:val="000000"/>
          <w:sz w:val="28"/>
          <w:szCs w:val="28"/>
          <w:lang w:val="en-US" w:eastAsia="zh-CN" w:bidi="ar-SA"/>
        </w:rPr>
        <w:t>（六）总体设计要求</w:t>
      </w:r>
    </w:p>
    <w:p w14:paraId="71C2A74B">
      <w:pPr>
        <w:keepNext/>
        <w:keepLines/>
        <w:widowControl/>
        <w:kinsoku/>
        <w:wordWrap/>
        <w:overflowPunct/>
        <w:topLinePunct w:val="0"/>
        <w:autoSpaceDE/>
        <w:autoSpaceDN/>
        <w:bidi w:val="0"/>
        <w:adjustRightInd w:val="0"/>
        <w:snapToGrid w:val="0"/>
        <w:spacing w:before="200" w:after="100" w:line="440" w:lineRule="exact"/>
        <w:ind w:left="0" w:firstLine="562" w:firstLineChars="200"/>
        <w:textAlignment w:val="auto"/>
        <w:outlineLvl w:val="1"/>
        <w:rPr>
          <w:rFonts w:hint="eastAsia" w:ascii="仿宋" w:hAnsi="仿宋" w:eastAsia="仿宋" w:cs="仿宋"/>
          <w:b/>
          <w:bCs/>
          <w:color w:val="000000"/>
          <w:sz w:val="28"/>
          <w:szCs w:val="28"/>
          <w:lang w:val="en-US" w:eastAsia="en-US" w:bidi="ar-SA"/>
        </w:rPr>
      </w:pPr>
      <w:r>
        <w:rPr>
          <w:rFonts w:hint="eastAsia" w:ascii="仿宋" w:hAnsi="仿宋" w:eastAsia="仿宋" w:cs="仿宋"/>
          <w:b/>
          <w:bCs/>
          <w:color w:val="000000"/>
          <w:sz w:val="28"/>
          <w:szCs w:val="28"/>
          <w:lang w:val="en-US" w:eastAsia="en-US" w:bidi="ar-SA"/>
        </w:rPr>
        <w:t>1. 展示空间要求</w:t>
      </w:r>
    </w:p>
    <w:p w14:paraId="3B5185F7">
      <w:pPr>
        <w:widowControl/>
        <w:kinsoku/>
        <w:wordWrap/>
        <w:overflowPunct/>
        <w:topLinePunct w:val="0"/>
        <w:autoSpaceDE/>
        <w:autoSpaceDN/>
        <w:bidi w:val="0"/>
        <w:adjustRightInd w:val="0"/>
        <w:snapToGrid w:val="0"/>
        <w:spacing w:after="12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根据</w:t>
      </w:r>
      <w:r>
        <w:rPr>
          <w:rFonts w:hint="eastAsia" w:ascii="仿宋" w:hAnsi="仿宋" w:eastAsia="仿宋" w:cs="仿宋"/>
          <w:b w:val="0"/>
          <w:color w:val="000000"/>
          <w:sz w:val="28"/>
          <w:szCs w:val="28"/>
          <w:lang w:val="en-US" w:eastAsia="zh-CN" w:bidi="ar-SA"/>
        </w:rPr>
        <w:t>场馆</w:t>
      </w:r>
      <w:r>
        <w:rPr>
          <w:rFonts w:hint="eastAsia" w:ascii="仿宋" w:hAnsi="仿宋" w:eastAsia="仿宋" w:cs="仿宋"/>
          <w:b w:val="0"/>
          <w:color w:val="000000"/>
          <w:sz w:val="28"/>
          <w:szCs w:val="28"/>
          <w:lang w:val="en-US" w:eastAsia="en-US" w:bidi="ar-SA"/>
        </w:rPr>
        <w:t>功能定位合理规划各展示模块，科学组织参观流线。参观动线应连续、清晰，避免明显交叉、回流及参观拥堵。保持统一的机构品牌形象，又应通过色彩、材质、灯光、图形及展示手段体现不同</w:t>
      </w:r>
      <w:r>
        <w:rPr>
          <w:rFonts w:hint="eastAsia" w:ascii="仿宋" w:hAnsi="仿宋" w:eastAsia="仿宋" w:cs="仿宋"/>
          <w:b w:val="0"/>
          <w:color w:val="000000"/>
          <w:sz w:val="28"/>
          <w:szCs w:val="28"/>
          <w:lang w:val="en-US" w:eastAsia="zh-CN" w:bidi="ar-SA"/>
        </w:rPr>
        <w:t>展示</w:t>
      </w:r>
      <w:r>
        <w:rPr>
          <w:rFonts w:hint="eastAsia" w:ascii="仿宋" w:hAnsi="仿宋" w:eastAsia="仿宋" w:cs="仿宋"/>
          <w:b w:val="0"/>
          <w:color w:val="000000"/>
          <w:sz w:val="28"/>
          <w:szCs w:val="28"/>
          <w:lang w:val="en-US" w:eastAsia="en-US" w:bidi="ar-SA"/>
        </w:rPr>
        <w:t>的主题差异。</w:t>
      </w:r>
    </w:p>
    <w:p w14:paraId="0A43726A">
      <w:pPr>
        <w:keepNext/>
        <w:keepLines/>
        <w:widowControl/>
        <w:kinsoku/>
        <w:wordWrap/>
        <w:overflowPunct/>
        <w:topLinePunct w:val="0"/>
        <w:autoSpaceDE/>
        <w:autoSpaceDN/>
        <w:bidi w:val="0"/>
        <w:adjustRightInd w:val="0"/>
        <w:snapToGrid w:val="0"/>
        <w:spacing w:before="200" w:after="100" w:line="440" w:lineRule="exact"/>
        <w:ind w:left="0" w:firstLine="562" w:firstLineChars="200"/>
        <w:textAlignment w:val="auto"/>
        <w:outlineLvl w:val="1"/>
        <w:rPr>
          <w:rFonts w:hint="eastAsia" w:ascii="仿宋" w:hAnsi="仿宋" w:eastAsia="仿宋" w:cs="仿宋"/>
          <w:b/>
          <w:bCs/>
          <w:color w:val="000000"/>
          <w:sz w:val="28"/>
          <w:szCs w:val="28"/>
          <w:lang w:val="en-US" w:eastAsia="en-US" w:bidi="ar-SA"/>
        </w:rPr>
      </w:pPr>
      <w:r>
        <w:rPr>
          <w:rFonts w:hint="eastAsia" w:ascii="仿宋" w:hAnsi="仿宋" w:eastAsia="仿宋" w:cs="仿宋"/>
          <w:b/>
          <w:bCs/>
          <w:color w:val="000000"/>
          <w:sz w:val="28"/>
          <w:szCs w:val="28"/>
          <w:lang w:val="en-US" w:eastAsia="en-US" w:bidi="ar-SA"/>
        </w:rPr>
        <w:t>2. 展柜及标本展示要求</w:t>
      </w:r>
    </w:p>
    <w:p w14:paraId="69363BEE">
      <w:pPr>
        <w:widowControl/>
        <w:kinsoku/>
        <w:wordWrap/>
        <w:overflowPunct/>
        <w:topLinePunct w:val="0"/>
        <w:autoSpaceDE/>
        <w:autoSpaceDN/>
        <w:bidi w:val="0"/>
        <w:adjustRightInd w:val="0"/>
        <w:snapToGrid w:val="0"/>
        <w:spacing w:after="120" w:line="440" w:lineRule="exact"/>
        <w:ind w:left="0" w:firstLine="560" w:firstLineChars="200"/>
        <w:jc w:val="left"/>
        <w:textAlignment w:val="auto"/>
        <w:rPr>
          <w:rFonts w:hint="eastAsia" w:ascii="仿宋" w:hAnsi="仿宋" w:eastAsia="仿宋" w:cs="仿宋"/>
          <w:color w:val="000000"/>
          <w:sz w:val="28"/>
          <w:szCs w:val="28"/>
          <w:lang w:val="en-US" w:eastAsia="zh-CN" w:bidi="ar-SA"/>
        </w:rPr>
      </w:pPr>
      <w:r>
        <w:rPr>
          <w:rFonts w:hint="eastAsia" w:ascii="仿宋" w:hAnsi="仿宋" w:eastAsia="仿宋" w:cs="仿宋"/>
          <w:b w:val="0"/>
          <w:color w:val="000000"/>
          <w:sz w:val="28"/>
          <w:szCs w:val="28"/>
          <w:lang w:val="en-US" w:eastAsia="en-US" w:bidi="ar-SA"/>
        </w:rPr>
        <w:t>中药标本馆及科普馆涉及的标本展柜，应根据不同类别分别进行设计。展柜应满足安全性、稳定性、可维护性及展示效果要求。</w:t>
      </w:r>
    </w:p>
    <w:p w14:paraId="5FC90F04">
      <w:pPr>
        <w:keepNext/>
        <w:keepLines/>
        <w:widowControl/>
        <w:kinsoku/>
        <w:wordWrap/>
        <w:overflowPunct/>
        <w:topLinePunct w:val="0"/>
        <w:autoSpaceDE/>
        <w:autoSpaceDN/>
        <w:bidi w:val="0"/>
        <w:adjustRightInd w:val="0"/>
        <w:snapToGrid w:val="0"/>
        <w:spacing w:before="200" w:after="100" w:line="440" w:lineRule="exact"/>
        <w:ind w:left="0" w:firstLine="562" w:firstLineChars="200"/>
        <w:textAlignment w:val="auto"/>
        <w:outlineLvl w:val="1"/>
        <w:rPr>
          <w:rFonts w:hint="eastAsia" w:ascii="仿宋" w:hAnsi="仿宋" w:eastAsia="仿宋" w:cs="仿宋"/>
          <w:b/>
          <w:bCs/>
          <w:color w:val="000000"/>
          <w:sz w:val="28"/>
          <w:szCs w:val="28"/>
          <w:lang w:val="en-US" w:eastAsia="en-US" w:bidi="ar-SA"/>
        </w:rPr>
      </w:pPr>
      <w:r>
        <w:rPr>
          <w:rFonts w:hint="eastAsia" w:ascii="仿宋" w:hAnsi="仿宋" w:eastAsia="仿宋" w:cs="仿宋"/>
          <w:b/>
          <w:bCs/>
          <w:color w:val="000000"/>
          <w:sz w:val="28"/>
          <w:szCs w:val="28"/>
          <w:lang w:val="en-US" w:eastAsia="en-US" w:bidi="ar-SA"/>
        </w:rPr>
        <w:t>3. 数字多媒体展示要求</w:t>
      </w:r>
    </w:p>
    <w:p w14:paraId="1E441C1F">
      <w:pPr>
        <w:widowControl/>
        <w:kinsoku/>
        <w:wordWrap/>
        <w:overflowPunct/>
        <w:topLinePunct w:val="0"/>
        <w:autoSpaceDE/>
        <w:autoSpaceDN/>
        <w:bidi w:val="0"/>
        <w:adjustRightInd w:val="0"/>
        <w:snapToGrid w:val="0"/>
        <w:spacing w:after="12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场馆数字多媒体设备应以展示内容为核心，数字内容应与实体标本、展墙、沙盘及空间设计形成统一展示体系。所有数字展示系统应充分考虑后期内容更新、软件维护、硬件检修和数据备份。</w:t>
      </w:r>
    </w:p>
    <w:p w14:paraId="0E93681A">
      <w:pPr>
        <w:keepNext/>
        <w:keepLines/>
        <w:widowControl/>
        <w:kinsoku/>
        <w:wordWrap/>
        <w:overflowPunct/>
        <w:topLinePunct w:val="0"/>
        <w:autoSpaceDE/>
        <w:autoSpaceDN/>
        <w:bidi w:val="0"/>
        <w:adjustRightInd w:val="0"/>
        <w:snapToGrid w:val="0"/>
        <w:spacing w:before="200" w:after="100" w:line="440" w:lineRule="exact"/>
        <w:ind w:left="0" w:firstLine="562" w:firstLineChars="200"/>
        <w:textAlignment w:val="auto"/>
        <w:outlineLvl w:val="1"/>
        <w:rPr>
          <w:rFonts w:hint="eastAsia" w:ascii="仿宋" w:hAnsi="仿宋" w:eastAsia="仿宋" w:cs="仿宋"/>
          <w:b/>
          <w:bCs/>
          <w:color w:val="000000"/>
          <w:sz w:val="28"/>
          <w:szCs w:val="28"/>
          <w:lang w:val="en-US" w:eastAsia="en-US" w:bidi="ar-SA"/>
        </w:rPr>
      </w:pPr>
      <w:r>
        <w:rPr>
          <w:rFonts w:hint="eastAsia" w:ascii="仿宋" w:hAnsi="仿宋" w:eastAsia="仿宋" w:cs="仿宋"/>
          <w:b/>
          <w:bCs/>
          <w:color w:val="000000"/>
          <w:sz w:val="28"/>
          <w:szCs w:val="28"/>
          <w:lang w:val="en-US" w:eastAsia="en-US" w:bidi="ar-SA"/>
        </w:rPr>
        <w:t>4. 灯光设计要求</w:t>
      </w:r>
    </w:p>
    <w:p w14:paraId="2A2CC244">
      <w:pPr>
        <w:widowControl/>
        <w:kinsoku/>
        <w:wordWrap/>
        <w:overflowPunct/>
        <w:topLinePunct w:val="0"/>
        <w:autoSpaceDE/>
        <w:autoSpaceDN/>
        <w:bidi w:val="0"/>
        <w:adjustRightInd w:val="0"/>
        <w:snapToGrid w:val="0"/>
        <w:spacing w:after="12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根据场馆</w:t>
      </w:r>
      <w:r>
        <w:rPr>
          <w:rFonts w:hint="eastAsia" w:ascii="仿宋" w:hAnsi="仿宋" w:eastAsia="仿宋" w:cs="仿宋"/>
          <w:b w:val="0"/>
          <w:color w:val="000000"/>
          <w:sz w:val="28"/>
          <w:szCs w:val="28"/>
          <w:lang w:val="en-US" w:eastAsia="zh-CN" w:bidi="ar-SA"/>
        </w:rPr>
        <w:t>的</w:t>
      </w:r>
      <w:r>
        <w:rPr>
          <w:rFonts w:hint="eastAsia" w:ascii="仿宋" w:hAnsi="仿宋" w:eastAsia="仿宋" w:cs="仿宋"/>
          <w:b w:val="0"/>
          <w:color w:val="000000"/>
          <w:sz w:val="28"/>
          <w:szCs w:val="28"/>
          <w:lang w:val="en-US" w:eastAsia="en-US" w:bidi="ar-SA"/>
        </w:rPr>
        <w:t>不同展品对照度、色温及光环境的需求进行专项设计。重点标本展示区域应避免强光直射。涉及对光线敏感的标本，应采取相应的低紫外线、防紫外线或控制照度措施。院史馆灯光突出庄重和层次；中药标本馆突出标本真实性和专业性；科普馆适当增强明快、互动的空间氛围。</w:t>
      </w:r>
    </w:p>
    <w:p w14:paraId="33281B0C">
      <w:pPr>
        <w:keepNext/>
        <w:keepLines/>
        <w:widowControl/>
        <w:kinsoku/>
        <w:wordWrap/>
        <w:overflowPunct/>
        <w:topLinePunct w:val="0"/>
        <w:autoSpaceDE/>
        <w:autoSpaceDN/>
        <w:bidi w:val="0"/>
        <w:adjustRightInd w:val="0"/>
        <w:snapToGrid w:val="0"/>
        <w:spacing w:before="200" w:after="100" w:line="440" w:lineRule="exact"/>
        <w:ind w:left="0" w:firstLine="562" w:firstLineChars="200"/>
        <w:textAlignment w:val="auto"/>
        <w:outlineLvl w:val="1"/>
        <w:rPr>
          <w:rFonts w:hint="eastAsia" w:ascii="仿宋" w:hAnsi="仿宋" w:eastAsia="仿宋" w:cs="仿宋"/>
          <w:b/>
          <w:bCs/>
          <w:color w:val="000000"/>
          <w:sz w:val="28"/>
          <w:szCs w:val="28"/>
          <w:lang w:val="en-US" w:eastAsia="en-US" w:bidi="ar-SA"/>
        </w:rPr>
      </w:pPr>
      <w:r>
        <w:rPr>
          <w:rFonts w:hint="eastAsia" w:ascii="仿宋" w:hAnsi="仿宋" w:eastAsia="仿宋" w:cs="仿宋"/>
          <w:b/>
          <w:bCs/>
          <w:color w:val="000000"/>
          <w:sz w:val="28"/>
          <w:szCs w:val="28"/>
          <w:lang w:val="en-US" w:eastAsia="en-US" w:bidi="ar-SA"/>
        </w:rPr>
        <w:t>5. 图文、标识及视觉系统要求</w:t>
      </w:r>
    </w:p>
    <w:p w14:paraId="2A358989">
      <w:pPr>
        <w:widowControl/>
        <w:kinsoku/>
        <w:wordWrap/>
        <w:overflowPunct/>
        <w:topLinePunct w:val="0"/>
        <w:autoSpaceDE/>
        <w:autoSpaceDN/>
        <w:bidi w:val="0"/>
        <w:adjustRightInd w:val="0"/>
        <w:snapToGrid w:val="0"/>
        <w:spacing w:after="12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场馆的机构名称、LOGO、展区名称、说明文字、标本标签、导视、警示和互动提示应建立统一的视觉规范。图文内容应层次清晰、字号适宜、文字准确，标本名称及专业术语应经</w:t>
      </w:r>
      <w:r>
        <w:rPr>
          <w:rFonts w:hint="eastAsia" w:ascii="仿宋" w:hAnsi="仿宋" w:eastAsia="仿宋" w:cs="仿宋"/>
          <w:b w:val="0"/>
          <w:color w:val="000000"/>
          <w:sz w:val="28"/>
          <w:szCs w:val="28"/>
          <w:lang w:val="en-US" w:eastAsia="zh-CN" w:bidi="ar-SA"/>
        </w:rPr>
        <w:t>需求方</w:t>
      </w:r>
      <w:r>
        <w:rPr>
          <w:rFonts w:hint="eastAsia" w:ascii="仿宋" w:hAnsi="仿宋" w:eastAsia="仿宋" w:cs="仿宋"/>
          <w:b w:val="0"/>
          <w:color w:val="000000"/>
          <w:sz w:val="28"/>
          <w:szCs w:val="28"/>
          <w:lang w:val="en-US" w:eastAsia="en-US" w:bidi="ar-SA"/>
        </w:rPr>
        <w:t>审核。</w:t>
      </w:r>
    </w:p>
    <w:p w14:paraId="004A50D5">
      <w:pPr>
        <w:keepNext/>
        <w:keepLines/>
        <w:widowControl/>
        <w:kinsoku/>
        <w:wordWrap/>
        <w:overflowPunct/>
        <w:topLinePunct w:val="0"/>
        <w:autoSpaceDE/>
        <w:autoSpaceDN/>
        <w:bidi w:val="0"/>
        <w:adjustRightInd w:val="0"/>
        <w:snapToGrid w:val="0"/>
        <w:spacing w:before="200" w:after="100" w:line="440" w:lineRule="exact"/>
        <w:ind w:left="0" w:firstLine="562" w:firstLineChars="200"/>
        <w:textAlignment w:val="auto"/>
        <w:outlineLvl w:val="1"/>
        <w:rPr>
          <w:rFonts w:hint="eastAsia" w:ascii="仿宋" w:hAnsi="仿宋" w:eastAsia="仿宋" w:cs="仿宋"/>
          <w:b/>
          <w:bCs/>
          <w:color w:val="000000"/>
          <w:sz w:val="28"/>
          <w:szCs w:val="28"/>
          <w:lang w:val="en-US" w:eastAsia="en-US" w:bidi="ar-SA"/>
        </w:rPr>
      </w:pPr>
      <w:r>
        <w:rPr>
          <w:rFonts w:hint="eastAsia" w:ascii="仿宋" w:hAnsi="仿宋" w:eastAsia="仿宋" w:cs="仿宋"/>
          <w:b/>
          <w:bCs/>
          <w:color w:val="000000"/>
          <w:sz w:val="28"/>
          <w:szCs w:val="28"/>
          <w:lang w:val="en-US" w:eastAsia="en-US" w:bidi="ar-SA"/>
        </w:rPr>
        <w:t>6. 材料、工艺及环保要求</w:t>
      </w:r>
    </w:p>
    <w:p w14:paraId="2A9ECE44">
      <w:pPr>
        <w:widowControl/>
        <w:kinsoku/>
        <w:wordWrap/>
        <w:overflowPunct/>
        <w:topLinePunct w:val="0"/>
        <w:autoSpaceDE/>
        <w:autoSpaceDN/>
        <w:bidi w:val="0"/>
        <w:adjustRightInd w:val="0"/>
        <w:snapToGrid w:val="0"/>
        <w:spacing w:after="12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展墙、展柜、地面、顶面、装饰构件和互动设施所采用的材料应满足安全、耐久、易维护和环保要求。材料及工艺应结合场馆长期公共使用特点进行选择，避免产生明显异味、尖锐边角、易脱落部件或难以维护的复杂构造。</w:t>
      </w:r>
    </w:p>
    <w:p w14:paraId="5A28ADDF">
      <w:pPr>
        <w:keepNext/>
        <w:keepLines/>
        <w:widowControl/>
        <w:kinsoku/>
        <w:wordWrap/>
        <w:overflowPunct/>
        <w:topLinePunct w:val="0"/>
        <w:autoSpaceDE/>
        <w:autoSpaceDN/>
        <w:bidi w:val="0"/>
        <w:adjustRightInd w:val="0"/>
        <w:snapToGrid w:val="0"/>
        <w:spacing w:before="200" w:after="100" w:line="440" w:lineRule="exact"/>
        <w:ind w:left="0" w:firstLine="562" w:firstLineChars="200"/>
        <w:textAlignment w:val="auto"/>
        <w:outlineLvl w:val="1"/>
        <w:rPr>
          <w:rFonts w:hint="eastAsia" w:ascii="仿宋" w:hAnsi="仿宋" w:eastAsia="仿宋" w:cs="仿宋"/>
          <w:b/>
          <w:bCs/>
          <w:color w:val="000000"/>
          <w:sz w:val="28"/>
          <w:szCs w:val="28"/>
          <w:lang w:val="en-US" w:eastAsia="en-US" w:bidi="ar-SA"/>
        </w:rPr>
      </w:pPr>
      <w:r>
        <w:rPr>
          <w:rFonts w:hint="eastAsia" w:ascii="仿宋" w:hAnsi="仿宋" w:eastAsia="仿宋" w:cs="仿宋"/>
          <w:b/>
          <w:bCs/>
          <w:color w:val="000000"/>
          <w:sz w:val="28"/>
          <w:szCs w:val="28"/>
          <w:lang w:val="en-US" w:eastAsia="en-US" w:bidi="ar-SA"/>
        </w:rPr>
        <w:t>7. 无障碍、消防及安全要求</w:t>
      </w:r>
    </w:p>
    <w:p w14:paraId="670B83F6">
      <w:pPr>
        <w:widowControl/>
        <w:kinsoku/>
        <w:wordWrap/>
        <w:overflowPunct/>
        <w:topLinePunct w:val="0"/>
        <w:autoSpaceDE/>
        <w:autoSpaceDN/>
        <w:bidi w:val="0"/>
        <w:adjustRightInd w:val="0"/>
        <w:snapToGrid w:val="0"/>
        <w:spacing w:after="12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参观通道宽度、疏散路线、安全出口、消防设施、电气线路、设备安装及检修空间须满足现行相关规范。展示设备、展柜及互动装置不得影响消防疏散。互动体验设施应充分考虑儿童及青少年使用安全，涉及玻璃、金属边角应采取安全防护措施。</w:t>
      </w:r>
    </w:p>
    <w:p w14:paraId="243B860F">
      <w:pPr>
        <w:keepNext/>
        <w:keepLines/>
        <w:widowControl/>
        <w:kinsoku/>
        <w:wordWrap/>
        <w:overflowPunct/>
        <w:topLinePunct w:val="0"/>
        <w:autoSpaceDE/>
        <w:autoSpaceDN/>
        <w:bidi w:val="0"/>
        <w:adjustRightInd w:val="0"/>
        <w:snapToGrid w:val="0"/>
        <w:spacing w:before="280" w:after="160" w:line="440" w:lineRule="exact"/>
        <w:ind w:firstLine="0"/>
        <w:textAlignment w:val="auto"/>
        <w:outlineLvl w:val="0"/>
        <w:rPr>
          <w:rFonts w:hint="eastAsia" w:ascii="黑体" w:hAnsi="黑体" w:eastAsia="黑体" w:cs="黑体"/>
          <w:b w:val="0"/>
          <w:bCs w:val="0"/>
          <w:color w:val="000000"/>
          <w:sz w:val="28"/>
          <w:szCs w:val="28"/>
          <w:lang w:val="en-US" w:eastAsia="en-US" w:bidi="ar-SA"/>
        </w:rPr>
      </w:pPr>
      <w:r>
        <w:rPr>
          <w:rFonts w:hint="eastAsia" w:ascii="黑体" w:hAnsi="黑体" w:eastAsia="黑体" w:cs="黑体"/>
          <w:b w:val="0"/>
          <w:bCs w:val="0"/>
          <w:color w:val="000000"/>
          <w:sz w:val="28"/>
          <w:szCs w:val="28"/>
          <w:lang w:val="en-US" w:eastAsia="zh-CN" w:bidi="ar-SA"/>
        </w:rPr>
        <w:t>八</w:t>
      </w:r>
      <w:r>
        <w:rPr>
          <w:rFonts w:hint="eastAsia" w:ascii="黑体" w:hAnsi="黑体" w:eastAsia="黑体" w:cs="黑体"/>
          <w:b w:val="0"/>
          <w:bCs w:val="0"/>
          <w:color w:val="000000"/>
          <w:sz w:val="28"/>
          <w:szCs w:val="28"/>
          <w:lang w:val="en-US" w:eastAsia="en-US" w:bidi="ar-SA"/>
        </w:rPr>
        <w:t>、项目技术服务要求</w:t>
      </w:r>
    </w:p>
    <w:p w14:paraId="7EEA3611">
      <w:pPr>
        <w:widowControl/>
        <w:kinsoku/>
        <w:wordWrap/>
        <w:overflowPunct/>
        <w:topLinePunct w:val="0"/>
        <w:autoSpaceDE/>
        <w:autoSpaceDN/>
        <w:bidi w:val="0"/>
        <w:adjustRightInd w:val="0"/>
        <w:snapToGrid w:val="0"/>
        <w:spacing w:after="6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（1）设计应具有前瞻性，充分保证场馆建设功能、展示形式及数字系统具有先进性和可持续性，力求实现实体标本、历史文化、艺术展示与现代科技的有机结合。</w:t>
      </w:r>
    </w:p>
    <w:p w14:paraId="0D7F0EF5">
      <w:pPr>
        <w:widowControl/>
        <w:kinsoku/>
        <w:wordWrap/>
        <w:overflowPunct/>
        <w:topLinePunct w:val="0"/>
        <w:autoSpaceDE/>
        <w:autoSpaceDN/>
        <w:bidi w:val="0"/>
        <w:adjustRightInd w:val="0"/>
        <w:snapToGrid w:val="0"/>
        <w:spacing w:after="6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（2）设计团队应根据项目实际需要配置建筑空间、展陈、平面视觉、数字多媒体、照明、电气及相关专业设计人员，保证三个馆整体设计工作的完整性和专业性。</w:t>
      </w:r>
    </w:p>
    <w:p w14:paraId="797320E2">
      <w:pPr>
        <w:widowControl/>
        <w:kinsoku/>
        <w:wordWrap/>
        <w:overflowPunct/>
        <w:topLinePunct w:val="0"/>
        <w:autoSpaceDE/>
        <w:autoSpaceDN/>
        <w:bidi w:val="0"/>
        <w:adjustRightInd w:val="0"/>
        <w:snapToGrid w:val="0"/>
        <w:spacing w:after="6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（3）设计方案经</w:t>
      </w:r>
      <w:r>
        <w:rPr>
          <w:rFonts w:hint="eastAsia" w:ascii="仿宋" w:hAnsi="仿宋" w:eastAsia="仿宋" w:cs="仿宋"/>
          <w:b w:val="0"/>
          <w:color w:val="000000"/>
          <w:sz w:val="28"/>
          <w:szCs w:val="28"/>
          <w:lang w:val="en-US" w:eastAsia="zh-CN" w:bidi="ar-SA"/>
        </w:rPr>
        <w:t>采购人</w:t>
      </w:r>
      <w:r>
        <w:rPr>
          <w:rFonts w:hint="eastAsia" w:ascii="仿宋" w:hAnsi="仿宋" w:eastAsia="仿宋" w:cs="仿宋"/>
          <w:b w:val="0"/>
          <w:color w:val="000000"/>
          <w:sz w:val="28"/>
          <w:szCs w:val="28"/>
          <w:lang w:val="en-US" w:eastAsia="en-US" w:bidi="ar-SA"/>
        </w:rPr>
        <w:t>确认后</w:t>
      </w:r>
      <w:r>
        <w:rPr>
          <w:rFonts w:hint="eastAsia" w:ascii="仿宋" w:hAnsi="仿宋" w:eastAsia="仿宋" w:cs="仿宋"/>
          <w:b w:val="0"/>
          <w:color w:val="000000"/>
          <w:sz w:val="28"/>
          <w:szCs w:val="28"/>
          <w:lang w:val="en-US" w:eastAsia="zh-CN" w:bidi="ar-SA"/>
        </w:rPr>
        <w:t>30</w:t>
      </w:r>
      <w:r>
        <w:rPr>
          <w:rFonts w:hint="eastAsia" w:ascii="仿宋" w:hAnsi="仿宋" w:eastAsia="仿宋" w:cs="仿宋"/>
          <w:b w:val="0"/>
          <w:color w:val="000000"/>
          <w:sz w:val="28"/>
          <w:szCs w:val="28"/>
          <w:lang w:val="en-US" w:eastAsia="en-US" w:bidi="ar-SA"/>
        </w:rPr>
        <w:t>日历天内完成全套设计图纸。</w:t>
      </w:r>
    </w:p>
    <w:p w14:paraId="6D5412EC">
      <w:pPr>
        <w:widowControl/>
        <w:kinsoku/>
        <w:wordWrap/>
        <w:overflowPunct/>
        <w:topLinePunct w:val="0"/>
        <w:autoSpaceDE/>
        <w:autoSpaceDN/>
        <w:bidi w:val="0"/>
        <w:adjustRightInd w:val="0"/>
        <w:snapToGrid w:val="0"/>
        <w:spacing w:after="6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（4）设计方案汇报及成果文件至少应包括总体设计说明、平面布置图、参观流线图、功能分区图、重点空间效果图、</w:t>
      </w:r>
      <w:r>
        <w:rPr>
          <w:rFonts w:hint="eastAsia" w:ascii="仿宋" w:hAnsi="仿宋" w:eastAsia="仿宋" w:cs="仿宋"/>
          <w:b w:val="0"/>
          <w:color w:val="000000"/>
          <w:sz w:val="28"/>
          <w:szCs w:val="28"/>
          <w:lang w:val="en-US" w:eastAsia="zh-CN" w:bidi="ar-SA"/>
        </w:rPr>
        <w:t>全套</w:t>
      </w:r>
      <w:r>
        <w:rPr>
          <w:rFonts w:hint="eastAsia" w:ascii="仿宋" w:hAnsi="仿宋" w:eastAsia="仿宋" w:cs="仿宋"/>
          <w:b w:val="0"/>
          <w:color w:val="000000"/>
          <w:sz w:val="28"/>
          <w:szCs w:val="28"/>
          <w:lang w:val="en-US" w:eastAsia="en-US" w:bidi="ar-SA"/>
        </w:rPr>
        <w:t>施工</w:t>
      </w:r>
      <w:r>
        <w:rPr>
          <w:rFonts w:hint="eastAsia" w:ascii="仿宋" w:hAnsi="仿宋" w:eastAsia="仿宋" w:cs="仿宋"/>
          <w:b w:val="0"/>
          <w:color w:val="000000"/>
          <w:sz w:val="28"/>
          <w:szCs w:val="28"/>
          <w:lang w:val="en-US" w:eastAsia="zh-CN" w:bidi="ar-SA"/>
        </w:rPr>
        <w:t>图</w:t>
      </w:r>
      <w:r>
        <w:rPr>
          <w:rFonts w:hint="eastAsia" w:ascii="仿宋" w:hAnsi="仿宋" w:eastAsia="仿宋" w:cs="仿宋"/>
          <w:b w:val="0"/>
          <w:color w:val="000000"/>
          <w:sz w:val="28"/>
          <w:szCs w:val="28"/>
          <w:lang w:val="en-US" w:eastAsia="en-US" w:bidi="ar-SA"/>
        </w:rPr>
        <w:t>及设计清单概算等。</w:t>
      </w:r>
    </w:p>
    <w:p w14:paraId="5BC553CA">
      <w:pPr>
        <w:widowControl/>
        <w:kinsoku/>
        <w:wordWrap/>
        <w:overflowPunct/>
        <w:topLinePunct w:val="0"/>
        <w:autoSpaceDE/>
        <w:autoSpaceDN/>
        <w:bidi w:val="0"/>
        <w:adjustRightInd w:val="0"/>
        <w:snapToGrid w:val="0"/>
        <w:spacing w:after="60" w:line="440" w:lineRule="exact"/>
        <w:ind w:left="0" w:firstLine="560" w:firstLineChars="200"/>
        <w:jc w:val="left"/>
        <w:textAlignment w:val="auto"/>
        <w:rPr>
          <w:rFonts w:hint="eastAsia" w:ascii="仿宋" w:hAnsi="仿宋" w:eastAsia="仿宋" w:cs="仿宋"/>
          <w:b w:val="0"/>
          <w:color w:val="000000"/>
          <w:sz w:val="28"/>
          <w:szCs w:val="28"/>
          <w:lang w:val="en-US" w:eastAsia="zh-CN" w:bidi="ar-SA"/>
        </w:rPr>
      </w:pPr>
      <w:r>
        <w:rPr>
          <w:rFonts w:hint="eastAsia" w:ascii="仿宋" w:hAnsi="仿宋" w:eastAsia="仿宋" w:cs="仿宋"/>
          <w:b w:val="0"/>
          <w:color w:val="000000"/>
          <w:sz w:val="28"/>
          <w:szCs w:val="28"/>
          <w:lang w:val="en-US" w:eastAsia="en-US" w:bidi="ar-SA"/>
        </w:rPr>
        <w:t>（5）设计成果应根据</w:t>
      </w:r>
      <w:r>
        <w:rPr>
          <w:rFonts w:hint="eastAsia" w:ascii="仿宋" w:hAnsi="仿宋" w:eastAsia="仿宋" w:cs="仿宋"/>
          <w:b w:val="0"/>
          <w:color w:val="000000"/>
          <w:sz w:val="28"/>
          <w:szCs w:val="28"/>
          <w:lang w:val="en-US" w:eastAsia="zh-CN" w:bidi="ar-SA"/>
        </w:rPr>
        <w:t>需求方</w:t>
      </w:r>
      <w:r>
        <w:rPr>
          <w:rFonts w:hint="eastAsia" w:ascii="仿宋" w:hAnsi="仿宋" w:eastAsia="仿宋" w:cs="仿宋"/>
          <w:b w:val="0"/>
          <w:color w:val="000000"/>
          <w:sz w:val="28"/>
          <w:szCs w:val="28"/>
          <w:lang w:val="en-US" w:eastAsia="en-US" w:bidi="ar-SA"/>
        </w:rPr>
        <w:t>要求提供纸质版及电子版，电子文件应包括可编辑源文件和便于审阅、打印及归档的通用格式文件</w:t>
      </w:r>
      <w:r>
        <w:rPr>
          <w:rFonts w:hint="eastAsia" w:ascii="仿宋" w:hAnsi="仿宋" w:eastAsia="仿宋" w:cs="仿宋"/>
          <w:b w:val="0"/>
          <w:color w:val="000000"/>
          <w:sz w:val="28"/>
          <w:szCs w:val="28"/>
          <w:lang w:val="en-US" w:eastAsia="zh-CN" w:bidi="ar-SA"/>
        </w:rPr>
        <w:t>。</w:t>
      </w:r>
    </w:p>
    <w:p w14:paraId="741B527D">
      <w:pPr>
        <w:widowControl/>
        <w:kinsoku/>
        <w:wordWrap/>
        <w:overflowPunct/>
        <w:topLinePunct w:val="0"/>
        <w:autoSpaceDE/>
        <w:autoSpaceDN/>
        <w:bidi w:val="0"/>
        <w:adjustRightInd w:val="0"/>
        <w:snapToGrid w:val="0"/>
        <w:spacing w:after="6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（6）设计图纸及设计文本须做到规范、清晰、完整，并满足项目施工实施需求。设计成果应符合消防、节能、环保、安全、建筑装饰装修、电气及相关国家和地方现行规范。</w:t>
      </w:r>
    </w:p>
    <w:p w14:paraId="44DF9545">
      <w:pPr>
        <w:widowControl/>
        <w:kinsoku/>
        <w:wordWrap/>
        <w:overflowPunct/>
        <w:topLinePunct w:val="0"/>
        <w:autoSpaceDE/>
        <w:autoSpaceDN/>
        <w:bidi w:val="0"/>
        <w:adjustRightInd w:val="0"/>
        <w:snapToGrid w:val="0"/>
        <w:spacing w:after="60" w:line="440" w:lineRule="exact"/>
        <w:ind w:left="0" w:firstLine="560" w:firstLineChars="200"/>
        <w:jc w:val="left"/>
        <w:textAlignment w:val="auto"/>
        <w:rPr>
          <w:rFonts w:hint="eastAsia" w:ascii="仿宋" w:hAnsi="仿宋" w:eastAsia="仿宋" w:cs="仿宋"/>
          <w:b w:val="0"/>
          <w:color w:val="000000"/>
          <w:sz w:val="28"/>
          <w:szCs w:val="28"/>
          <w:lang w:val="en-US" w:eastAsia="en-US" w:bidi="ar-SA"/>
        </w:rPr>
      </w:pPr>
      <w:r>
        <w:rPr>
          <w:rFonts w:hint="eastAsia" w:ascii="仿宋" w:hAnsi="仿宋" w:eastAsia="仿宋" w:cs="仿宋"/>
          <w:b w:val="0"/>
          <w:color w:val="000000"/>
          <w:sz w:val="28"/>
          <w:szCs w:val="28"/>
          <w:lang w:val="en-US" w:eastAsia="en-US" w:bidi="ar-SA"/>
        </w:rPr>
        <w:t>（7）设计单位须结合现场实际情况进行测量复核，所有设计尺寸最终以现场复尺结果为准。</w:t>
      </w:r>
    </w:p>
    <w:p w14:paraId="6E4D169E">
      <w:pPr>
        <w:widowControl/>
        <w:kinsoku/>
        <w:wordWrap/>
        <w:overflowPunct/>
        <w:topLinePunct w:val="0"/>
        <w:autoSpaceDE/>
        <w:autoSpaceDN/>
        <w:bidi w:val="0"/>
        <w:adjustRightInd w:val="0"/>
        <w:snapToGrid w:val="0"/>
        <w:spacing w:after="6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（8）设计完成后须配合</w:t>
      </w:r>
      <w:r>
        <w:rPr>
          <w:rFonts w:hint="eastAsia" w:ascii="仿宋" w:hAnsi="仿宋" w:eastAsia="仿宋" w:cs="仿宋"/>
          <w:b w:val="0"/>
          <w:color w:val="000000"/>
          <w:sz w:val="28"/>
          <w:szCs w:val="28"/>
          <w:lang w:val="en-US" w:eastAsia="zh-CN" w:bidi="ar-SA"/>
        </w:rPr>
        <w:t>需求方</w:t>
      </w:r>
      <w:r>
        <w:rPr>
          <w:rFonts w:hint="eastAsia" w:ascii="仿宋" w:hAnsi="仿宋" w:eastAsia="仿宋" w:cs="仿宋"/>
          <w:b w:val="0"/>
          <w:color w:val="000000"/>
          <w:sz w:val="28"/>
          <w:szCs w:val="28"/>
          <w:lang w:val="en-US" w:eastAsia="en-US" w:bidi="ar-SA"/>
        </w:rPr>
        <w:t>完成项目实施阶段相关技术文件、工程量清单及技术要求的编制和完善。</w:t>
      </w:r>
    </w:p>
    <w:p w14:paraId="755E14A2">
      <w:pPr>
        <w:widowControl/>
        <w:kinsoku/>
        <w:wordWrap/>
        <w:overflowPunct/>
        <w:topLinePunct w:val="0"/>
        <w:autoSpaceDE/>
        <w:autoSpaceDN/>
        <w:bidi w:val="0"/>
        <w:adjustRightInd w:val="0"/>
        <w:snapToGrid w:val="0"/>
        <w:spacing w:after="6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（9）项目实施过程中，设计单位须进行设计交底，并提供必要的现场技术指导。</w:t>
      </w:r>
    </w:p>
    <w:p w14:paraId="1430C198">
      <w:pPr>
        <w:widowControl/>
        <w:kinsoku/>
        <w:wordWrap/>
        <w:overflowPunct/>
        <w:topLinePunct w:val="0"/>
        <w:autoSpaceDE/>
        <w:autoSpaceDN/>
        <w:bidi w:val="0"/>
        <w:adjustRightInd w:val="0"/>
        <w:snapToGrid w:val="0"/>
        <w:spacing w:after="6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（10）施工或布展过程中如涉及现场条件变化、展陈内容调整、设备尺寸调整、标本清单变化或材料工艺优化等情况，应根据</w:t>
      </w:r>
      <w:r>
        <w:rPr>
          <w:rFonts w:hint="eastAsia" w:ascii="仿宋" w:hAnsi="仿宋" w:eastAsia="仿宋" w:cs="仿宋"/>
          <w:b w:val="0"/>
          <w:color w:val="000000"/>
          <w:sz w:val="28"/>
          <w:szCs w:val="28"/>
          <w:lang w:val="en-US" w:eastAsia="zh-CN" w:bidi="ar-SA"/>
        </w:rPr>
        <w:t>需求方</w:t>
      </w:r>
      <w:r>
        <w:rPr>
          <w:rFonts w:hint="eastAsia" w:ascii="仿宋" w:hAnsi="仿宋" w:eastAsia="仿宋" w:cs="仿宋"/>
          <w:b w:val="0"/>
          <w:color w:val="000000"/>
          <w:sz w:val="28"/>
          <w:szCs w:val="28"/>
          <w:lang w:val="en-US" w:eastAsia="en-US" w:bidi="ar-SA"/>
        </w:rPr>
        <w:t>要求及时完成设计深化及变更。</w:t>
      </w:r>
    </w:p>
    <w:p w14:paraId="14CD33E1">
      <w:pPr>
        <w:widowControl/>
        <w:kinsoku/>
        <w:wordWrap/>
        <w:overflowPunct/>
        <w:topLinePunct w:val="0"/>
        <w:autoSpaceDE/>
        <w:autoSpaceDN/>
        <w:bidi w:val="0"/>
        <w:adjustRightInd w:val="0"/>
        <w:snapToGrid w:val="0"/>
        <w:spacing w:after="6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（1</w:t>
      </w:r>
      <w:r>
        <w:rPr>
          <w:rFonts w:hint="eastAsia" w:ascii="仿宋" w:hAnsi="仿宋" w:eastAsia="仿宋" w:cs="仿宋"/>
          <w:b w:val="0"/>
          <w:color w:val="000000"/>
          <w:sz w:val="28"/>
          <w:szCs w:val="28"/>
          <w:lang w:val="en-US" w:eastAsia="zh-CN" w:bidi="ar-SA"/>
        </w:rPr>
        <w:t>1</w:t>
      </w:r>
      <w:r>
        <w:rPr>
          <w:rFonts w:hint="eastAsia" w:ascii="仿宋" w:hAnsi="仿宋" w:eastAsia="仿宋" w:cs="仿宋"/>
          <w:b w:val="0"/>
          <w:color w:val="000000"/>
          <w:sz w:val="28"/>
          <w:szCs w:val="28"/>
          <w:lang w:val="en-US" w:eastAsia="en-US" w:bidi="ar-SA"/>
        </w:rPr>
        <w:t>）中药标本及数字内容的名称、基原、产地、药用部位、功能主治、鉴别特征、历史资料和科研成果等，应以</w:t>
      </w:r>
      <w:r>
        <w:rPr>
          <w:rFonts w:hint="eastAsia" w:ascii="仿宋" w:hAnsi="仿宋" w:eastAsia="仿宋" w:cs="仿宋"/>
          <w:b w:val="0"/>
          <w:color w:val="000000"/>
          <w:sz w:val="28"/>
          <w:szCs w:val="28"/>
          <w:lang w:val="en-US" w:eastAsia="zh-CN" w:bidi="ar-SA"/>
        </w:rPr>
        <w:t>需求方</w:t>
      </w:r>
      <w:r>
        <w:rPr>
          <w:rFonts w:hint="eastAsia" w:ascii="仿宋" w:hAnsi="仿宋" w:eastAsia="仿宋" w:cs="仿宋"/>
          <w:b w:val="0"/>
          <w:color w:val="000000"/>
          <w:sz w:val="28"/>
          <w:szCs w:val="28"/>
          <w:lang w:val="en-US" w:eastAsia="en-US" w:bidi="ar-SA"/>
        </w:rPr>
        <w:t>提供或审定的资料为依据，设计单位不得擅自改变专业结论。</w:t>
      </w:r>
    </w:p>
    <w:p w14:paraId="0AC6A251">
      <w:pPr>
        <w:widowControl/>
        <w:kinsoku/>
        <w:wordWrap/>
        <w:overflowPunct/>
        <w:topLinePunct w:val="0"/>
        <w:autoSpaceDE/>
        <w:autoSpaceDN/>
        <w:bidi w:val="0"/>
        <w:adjustRightInd w:val="0"/>
        <w:snapToGrid w:val="0"/>
        <w:spacing w:after="6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（1</w:t>
      </w:r>
      <w:r>
        <w:rPr>
          <w:rFonts w:hint="eastAsia" w:ascii="仿宋" w:hAnsi="仿宋" w:eastAsia="仿宋" w:cs="仿宋"/>
          <w:b w:val="0"/>
          <w:color w:val="000000"/>
          <w:sz w:val="28"/>
          <w:szCs w:val="28"/>
          <w:lang w:val="en-US" w:eastAsia="zh-CN" w:bidi="ar-SA"/>
        </w:rPr>
        <w:t>2</w:t>
      </w:r>
      <w:r>
        <w:rPr>
          <w:rFonts w:hint="eastAsia" w:ascii="仿宋" w:hAnsi="仿宋" w:eastAsia="仿宋" w:cs="仿宋"/>
          <w:b w:val="0"/>
          <w:color w:val="000000"/>
          <w:sz w:val="28"/>
          <w:szCs w:val="28"/>
          <w:lang w:val="en-US" w:eastAsia="en-US" w:bidi="ar-SA"/>
        </w:rPr>
        <w:t>）数字系统及多媒体内容应完成安装、调试、试运行、内容导入、操作培训和使用说明编制，系统维护、数据备份和账号权限管理要求按</w:t>
      </w:r>
      <w:r>
        <w:rPr>
          <w:rFonts w:hint="eastAsia" w:ascii="仿宋" w:hAnsi="仿宋" w:eastAsia="仿宋" w:cs="仿宋"/>
          <w:b w:val="0"/>
          <w:color w:val="000000"/>
          <w:sz w:val="28"/>
          <w:szCs w:val="28"/>
          <w:lang w:val="en-US" w:eastAsia="zh-CN" w:bidi="ar-SA"/>
        </w:rPr>
        <w:t>需求方</w:t>
      </w:r>
      <w:r>
        <w:rPr>
          <w:rFonts w:hint="eastAsia" w:ascii="仿宋" w:hAnsi="仿宋" w:eastAsia="仿宋" w:cs="仿宋"/>
          <w:b w:val="0"/>
          <w:color w:val="000000"/>
          <w:sz w:val="28"/>
          <w:szCs w:val="28"/>
          <w:lang w:val="en-US" w:eastAsia="en-US" w:bidi="ar-SA"/>
        </w:rPr>
        <w:t>确认的方案执行。</w:t>
      </w:r>
    </w:p>
    <w:p w14:paraId="7A20828E">
      <w:pPr>
        <w:widowControl/>
        <w:kinsoku/>
        <w:wordWrap/>
        <w:overflowPunct/>
        <w:topLinePunct w:val="0"/>
        <w:autoSpaceDE/>
        <w:autoSpaceDN/>
        <w:bidi w:val="0"/>
        <w:adjustRightInd w:val="0"/>
        <w:snapToGrid w:val="0"/>
        <w:spacing w:after="6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w:t>
      </w:r>
      <w:r>
        <w:rPr>
          <w:rFonts w:hint="eastAsia" w:ascii="仿宋" w:hAnsi="仿宋" w:eastAsia="仿宋" w:cs="仿宋"/>
          <w:b w:val="0"/>
          <w:color w:val="000000"/>
          <w:sz w:val="28"/>
          <w:szCs w:val="28"/>
          <w:lang w:val="en-US" w:eastAsia="zh-CN" w:bidi="ar-SA"/>
        </w:rPr>
        <w:t>13</w:t>
      </w:r>
      <w:r>
        <w:rPr>
          <w:rFonts w:hint="eastAsia" w:ascii="仿宋" w:hAnsi="仿宋" w:eastAsia="仿宋" w:cs="仿宋"/>
          <w:b w:val="0"/>
          <w:color w:val="000000"/>
          <w:sz w:val="28"/>
          <w:szCs w:val="28"/>
          <w:lang w:val="en-US" w:eastAsia="en-US" w:bidi="ar-SA"/>
        </w:rPr>
        <w:t>）设计单位应对其提交的图纸、文本、图文内容组织成果及数字内容进行内部校核，保证图纸、清单、展陈内容、设备点位和现场实施之间的一致性。</w:t>
      </w:r>
    </w:p>
    <w:p w14:paraId="49798DB5">
      <w:pPr>
        <w:keepNext/>
        <w:keepLines/>
        <w:widowControl/>
        <w:kinsoku/>
        <w:wordWrap/>
        <w:overflowPunct/>
        <w:topLinePunct w:val="0"/>
        <w:autoSpaceDE/>
        <w:autoSpaceDN/>
        <w:bidi w:val="0"/>
        <w:adjustRightInd w:val="0"/>
        <w:snapToGrid w:val="0"/>
        <w:spacing w:before="200" w:after="100" w:line="440" w:lineRule="exact"/>
        <w:ind w:firstLine="0"/>
        <w:textAlignment w:val="auto"/>
        <w:outlineLvl w:val="1"/>
        <w:rPr>
          <w:rFonts w:hint="eastAsia" w:ascii="楷体" w:hAnsi="楷体" w:eastAsia="楷体" w:cs="楷体"/>
          <w:b w:val="0"/>
          <w:bCs w:val="0"/>
          <w:color w:val="000000"/>
          <w:sz w:val="28"/>
          <w:szCs w:val="28"/>
          <w:lang w:val="en-US" w:eastAsia="zh-CN" w:bidi="ar-SA"/>
        </w:rPr>
      </w:pPr>
      <w:r>
        <w:rPr>
          <w:rFonts w:hint="eastAsia" w:ascii="楷体" w:hAnsi="楷体" w:eastAsia="楷体" w:cs="楷体"/>
          <w:b w:val="0"/>
          <w:bCs w:val="0"/>
          <w:color w:val="000000"/>
          <w:sz w:val="28"/>
          <w:szCs w:val="28"/>
          <w:lang w:val="en-US" w:eastAsia="zh-CN" w:bidi="ar-SA"/>
        </w:rPr>
        <w:t>（一）服务期限</w:t>
      </w:r>
    </w:p>
    <w:p w14:paraId="1ADEAA47">
      <w:pPr>
        <w:widowControl/>
        <w:kinsoku/>
        <w:wordWrap/>
        <w:overflowPunct/>
        <w:topLinePunct w:val="0"/>
        <w:autoSpaceDE/>
        <w:autoSpaceDN/>
        <w:bidi w:val="0"/>
        <w:adjustRightInd w:val="0"/>
        <w:snapToGrid w:val="0"/>
        <w:spacing w:after="12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本项目服务期限为</w:t>
      </w:r>
      <w:r>
        <w:rPr>
          <w:rFonts w:hint="eastAsia" w:ascii="仿宋" w:hAnsi="仿宋" w:eastAsia="仿宋" w:cs="仿宋"/>
          <w:b w:val="0"/>
          <w:color w:val="000000"/>
          <w:sz w:val="28"/>
          <w:szCs w:val="28"/>
          <w:lang w:val="en-US" w:eastAsia="zh-CN" w:bidi="ar-SA"/>
        </w:rPr>
        <w:t>30</w:t>
      </w:r>
      <w:r>
        <w:rPr>
          <w:rFonts w:hint="eastAsia" w:ascii="仿宋" w:hAnsi="仿宋" w:eastAsia="仿宋" w:cs="仿宋"/>
          <w:b w:val="0"/>
          <w:color w:val="000000"/>
          <w:sz w:val="28"/>
          <w:szCs w:val="28"/>
          <w:lang w:val="en-US" w:eastAsia="en-US" w:bidi="ar-SA"/>
        </w:rPr>
        <w:t>日历天，自合同约定的起始条件满足之日起计算。概念方案、深化设计、施工图及配合实施等阶段的具体节点以合同约定和</w:t>
      </w:r>
      <w:r>
        <w:rPr>
          <w:rFonts w:hint="eastAsia" w:ascii="仿宋" w:hAnsi="仿宋" w:eastAsia="仿宋" w:cs="仿宋"/>
          <w:b w:val="0"/>
          <w:color w:val="000000"/>
          <w:sz w:val="28"/>
          <w:szCs w:val="28"/>
          <w:lang w:val="en-US" w:eastAsia="zh-CN" w:bidi="ar-SA"/>
        </w:rPr>
        <w:t>需求方</w:t>
      </w:r>
      <w:r>
        <w:rPr>
          <w:rFonts w:hint="eastAsia" w:ascii="仿宋" w:hAnsi="仿宋" w:eastAsia="仿宋" w:cs="仿宋"/>
          <w:b w:val="0"/>
          <w:color w:val="000000"/>
          <w:sz w:val="28"/>
          <w:szCs w:val="28"/>
          <w:lang w:val="en-US" w:eastAsia="en-US" w:bidi="ar-SA"/>
        </w:rPr>
        <w:t>书面通知为准。因</w:t>
      </w:r>
      <w:r>
        <w:rPr>
          <w:rFonts w:hint="eastAsia" w:ascii="仿宋" w:hAnsi="仿宋" w:eastAsia="仿宋" w:cs="仿宋"/>
          <w:b w:val="0"/>
          <w:color w:val="000000"/>
          <w:sz w:val="28"/>
          <w:szCs w:val="28"/>
          <w:lang w:val="en-US" w:eastAsia="zh-CN" w:bidi="ar-SA"/>
        </w:rPr>
        <w:t>需求方</w:t>
      </w:r>
      <w:r>
        <w:rPr>
          <w:rFonts w:hint="eastAsia" w:ascii="仿宋" w:hAnsi="仿宋" w:eastAsia="仿宋" w:cs="仿宋"/>
          <w:b w:val="0"/>
          <w:color w:val="000000"/>
          <w:sz w:val="28"/>
          <w:szCs w:val="28"/>
          <w:lang w:val="en-US" w:eastAsia="en-US" w:bidi="ar-SA"/>
        </w:rPr>
        <w:t>资料提供、现场条件、审定流程或不可归责于设计单位的原因导致进度调整的，双方按照合同约定办理。</w:t>
      </w:r>
    </w:p>
    <w:p w14:paraId="7FFD14CA">
      <w:pPr>
        <w:keepNext/>
        <w:keepLines/>
        <w:widowControl/>
        <w:kinsoku/>
        <w:wordWrap/>
        <w:overflowPunct/>
        <w:topLinePunct w:val="0"/>
        <w:autoSpaceDE/>
        <w:autoSpaceDN/>
        <w:bidi w:val="0"/>
        <w:adjustRightInd w:val="0"/>
        <w:snapToGrid w:val="0"/>
        <w:spacing w:before="200" w:after="100" w:line="440" w:lineRule="exact"/>
        <w:ind w:firstLine="0"/>
        <w:textAlignment w:val="auto"/>
        <w:outlineLvl w:val="1"/>
        <w:rPr>
          <w:rFonts w:hint="eastAsia" w:ascii="楷体" w:hAnsi="楷体" w:eastAsia="楷体" w:cs="楷体"/>
          <w:b w:val="0"/>
          <w:bCs w:val="0"/>
          <w:color w:val="000000"/>
          <w:sz w:val="28"/>
          <w:szCs w:val="28"/>
          <w:lang w:val="en-US" w:eastAsia="zh-CN" w:bidi="ar-SA"/>
        </w:rPr>
      </w:pPr>
      <w:r>
        <w:rPr>
          <w:rFonts w:hint="eastAsia" w:ascii="楷体" w:hAnsi="楷体" w:eastAsia="楷体" w:cs="楷体"/>
          <w:b w:val="0"/>
          <w:bCs w:val="0"/>
          <w:color w:val="000000"/>
          <w:sz w:val="28"/>
          <w:szCs w:val="28"/>
          <w:lang w:val="en-US" w:eastAsia="zh-CN" w:bidi="ar-SA"/>
        </w:rPr>
        <w:t>（二）服务地点及现场配合</w:t>
      </w:r>
    </w:p>
    <w:p w14:paraId="66544DAA">
      <w:pPr>
        <w:widowControl/>
        <w:kinsoku/>
        <w:wordWrap/>
        <w:overflowPunct/>
        <w:topLinePunct w:val="0"/>
        <w:autoSpaceDE/>
        <w:autoSpaceDN/>
        <w:bidi w:val="0"/>
        <w:adjustRightInd w:val="0"/>
        <w:snapToGrid w:val="0"/>
        <w:spacing w:after="12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服务地点为</w:t>
      </w:r>
      <w:r>
        <w:rPr>
          <w:rFonts w:hint="eastAsia" w:ascii="仿宋" w:hAnsi="仿宋" w:eastAsia="仿宋" w:cs="仿宋"/>
          <w:b w:val="0"/>
          <w:color w:val="000000"/>
          <w:sz w:val="28"/>
          <w:szCs w:val="28"/>
          <w:lang w:val="en-US" w:eastAsia="zh-CN" w:bidi="ar-SA"/>
        </w:rPr>
        <w:t>湖南省药品检验检测研究院</w:t>
      </w:r>
      <w:r>
        <w:rPr>
          <w:rFonts w:hint="eastAsia" w:ascii="仿宋" w:hAnsi="仿宋" w:eastAsia="仿宋" w:cs="仿宋"/>
          <w:b w:val="0"/>
          <w:color w:val="000000"/>
          <w:sz w:val="28"/>
          <w:szCs w:val="28"/>
          <w:lang w:val="en-US" w:eastAsia="en-US" w:bidi="ar-SA"/>
        </w:rPr>
        <w:t>相关场馆区域。设计单位应根据</w:t>
      </w:r>
      <w:r>
        <w:rPr>
          <w:rFonts w:hint="eastAsia" w:ascii="仿宋" w:hAnsi="仿宋" w:eastAsia="仿宋" w:cs="仿宋"/>
          <w:b w:val="0"/>
          <w:color w:val="000000"/>
          <w:sz w:val="28"/>
          <w:szCs w:val="28"/>
          <w:lang w:val="en-US" w:eastAsia="zh-CN" w:bidi="ar-SA"/>
        </w:rPr>
        <w:t>需求方</w:t>
      </w:r>
      <w:r>
        <w:rPr>
          <w:rFonts w:hint="eastAsia" w:ascii="仿宋" w:hAnsi="仿宋" w:eastAsia="仿宋" w:cs="仿宋"/>
          <w:b w:val="0"/>
          <w:color w:val="000000"/>
          <w:sz w:val="28"/>
          <w:szCs w:val="28"/>
          <w:lang w:val="en-US" w:eastAsia="en-US" w:bidi="ar-SA"/>
        </w:rPr>
        <w:t>要求参加现场踏勘、测量复核、方案汇报、设计交底、材料及设备确认、现场协调和阶段验收等工作，参加人员和频次按项目实际需要及合同约定执行。</w:t>
      </w:r>
    </w:p>
    <w:p w14:paraId="3C69C124">
      <w:pPr>
        <w:keepNext/>
        <w:keepLines/>
        <w:widowControl/>
        <w:kinsoku/>
        <w:wordWrap/>
        <w:overflowPunct/>
        <w:topLinePunct w:val="0"/>
        <w:autoSpaceDE/>
        <w:autoSpaceDN/>
        <w:bidi w:val="0"/>
        <w:adjustRightInd w:val="0"/>
        <w:snapToGrid w:val="0"/>
        <w:spacing w:before="200" w:after="100" w:line="440" w:lineRule="exact"/>
        <w:ind w:firstLine="0"/>
        <w:textAlignment w:val="auto"/>
        <w:outlineLvl w:val="1"/>
        <w:rPr>
          <w:rFonts w:hint="eastAsia" w:ascii="楷体" w:hAnsi="楷体" w:eastAsia="楷体" w:cs="楷体"/>
          <w:b w:val="0"/>
          <w:bCs w:val="0"/>
          <w:color w:val="000000"/>
          <w:sz w:val="28"/>
          <w:szCs w:val="28"/>
          <w:lang w:val="en-US" w:eastAsia="zh-CN" w:bidi="ar-SA"/>
        </w:rPr>
      </w:pPr>
      <w:r>
        <w:rPr>
          <w:rFonts w:hint="eastAsia" w:ascii="楷体" w:hAnsi="楷体" w:eastAsia="楷体" w:cs="楷体"/>
          <w:b w:val="0"/>
          <w:bCs w:val="0"/>
          <w:color w:val="000000"/>
          <w:sz w:val="28"/>
          <w:szCs w:val="28"/>
          <w:lang w:val="en-US" w:eastAsia="zh-CN" w:bidi="ar-SA"/>
        </w:rPr>
        <w:t>（三）项目成果交付</w:t>
      </w:r>
    </w:p>
    <w:p w14:paraId="2B29E076">
      <w:pPr>
        <w:widowControl/>
        <w:kinsoku/>
        <w:wordWrap/>
        <w:overflowPunct/>
        <w:topLinePunct w:val="0"/>
        <w:autoSpaceDE/>
        <w:autoSpaceDN/>
        <w:bidi w:val="0"/>
        <w:adjustRightInd w:val="0"/>
        <w:snapToGrid w:val="0"/>
        <w:spacing w:after="12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设计单位应按照项目阶段提交完整、可审查、可实施和可编辑的成果文件。成果应保持各专业之间的一致性，文件命名、版本管理和提交清单应清晰可追溯。</w:t>
      </w:r>
    </w:p>
    <w:p w14:paraId="1F6F757B">
      <w:pPr>
        <w:keepNext/>
        <w:keepLines/>
        <w:widowControl/>
        <w:kinsoku/>
        <w:wordWrap/>
        <w:overflowPunct/>
        <w:topLinePunct w:val="0"/>
        <w:autoSpaceDE/>
        <w:autoSpaceDN/>
        <w:bidi w:val="0"/>
        <w:adjustRightInd w:val="0"/>
        <w:snapToGrid w:val="0"/>
        <w:spacing w:before="200" w:after="100" w:line="440" w:lineRule="exact"/>
        <w:ind w:firstLine="0"/>
        <w:textAlignment w:val="auto"/>
        <w:outlineLvl w:val="1"/>
        <w:rPr>
          <w:rFonts w:hint="eastAsia" w:ascii="楷体" w:hAnsi="楷体" w:eastAsia="楷体" w:cs="楷体"/>
          <w:b w:val="0"/>
          <w:bCs w:val="0"/>
          <w:color w:val="000000"/>
          <w:sz w:val="28"/>
          <w:szCs w:val="28"/>
          <w:lang w:val="en-US" w:eastAsia="zh-CN" w:bidi="ar-SA"/>
        </w:rPr>
      </w:pPr>
      <w:r>
        <w:rPr>
          <w:rFonts w:hint="eastAsia" w:ascii="楷体" w:hAnsi="楷体" w:eastAsia="楷体" w:cs="楷体"/>
          <w:b w:val="0"/>
          <w:bCs w:val="0"/>
          <w:color w:val="000000"/>
          <w:sz w:val="28"/>
          <w:szCs w:val="28"/>
          <w:lang w:val="en-US" w:eastAsia="zh-CN" w:bidi="ar-SA"/>
        </w:rPr>
        <w:t>（四）项目管理与沟通协调</w:t>
      </w:r>
    </w:p>
    <w:p w14:paraId="399F6379">
      <w:pPr>
        <w:widowControl/>
        <w:kinsoku/>
        <w:wordWrap/>
        <w:overflowPunct/>
        <w:topLinePunct w:val="0"/>
        <w:autoSpaceDE/>
        <w:autoSpaceDN/>
        <w:bidi w:val="0"/>
        <w:adjustRightInd w:val="0"/>
        <w:snapToGrid w:val="0"/>
        <w:spacing w:after="12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设计单位应明确项目负责人及各专业联系人，建立方案汇报、问题清单、版本管理和成果确认机制。对</w:t>
      </w:r>
      <w:r>
        <w:rPr>
          <w:rFonts w:hint="eastAsia" w:ascii="仿宋" w:hAnsi="仿宋" w:eastAsia="仿宋" w:cs="仿宋"/>
          <w:b w:val="0"/>
          <w:color w:val="000000"/>
          <w:sz w:val="28"/>
          <w:szCs w:val="28"/>
          <w:lang w:val="en-US" w:eastAsia="zh-CN" w:bidi="ar-SA"/>
        </w:rPr>
        <w:t>需求方</w:t>
      </w:r>
      <w:r>
        <w:rPr>
          <w:rFonts w:hint="eastAsia" w:ascii="仿宋" w:hAnsi="仿宋" w:eastAsia="仿宋" w:cs="仿宋"/>
          <w:b w:val="0"/>
          <w:color w:val="000000"/>
          <w:sz w:val="28"/>
          <w:szCs w:val="28"/>
          <w:lang w:val="en-US" w:eastAsia="en-US" w:bidi="ar-SA"/>
        </w:rPr>
        <w:t>提出的意见应形成书面记录，修改后提交修改说明和更新版本。涉及院史资料、标本清单、科研成果、数字内容和专业术语的，应分别由相应专业人员校核。</w:t>
      </w:r>
    </w:p>
    <w:p w14:paraId="03AE509B">
      <w:pPr>
        <w:keepNext/>
        <w:keepLines/>
        <w:widowControl/>
        <w:kinsoku/>
        <w:wordWrap/>
        <w:overflowPunct/>
        <w:topLinePunct w:val="0"/>
        <w:autoSpaceDE/>
        <w:autoSpaceDN/>
        <w:bidi w:val="0"/>
        <w:adjustRightInd w:val="0"/>
        <w:snapToGrid w:val="0"/>
        <w:spacing w:before="200" w:after="100" w:line="440" w:lineRule="exact"/>
        <w:ind w:firstLine="0"/>
        <w:textAlignment w:val="auto"/>
        <w:outlineLvl w:val="1"/>
        <w:rPr>
          <w:rFonts w:hint="eastAsia" w:ascii="楷体" w:hAnsi="楷体" w:eastAsia="楷体" w:cs="楷体"/>
          <w:b w:val="0"/>
          <w:bCs w:val="0"/>
          <w:color w:val="000000"/>
          <w:sz w:val="28"/>
          <w:szCs w:val="28"/>
          <w:lang w:val="en-US" w:eastAsia="zh-CN" w:bidi="ar-SA"/>
        </w:rPr>
      </w:pPr>
      <w:r>
        <w:rPr>
          <w:rFonts w:hint="eastAsia" w:ascii="楷体" w:hAnsi="楷体" w:eastAsia="楷体" w:cs="楷体"/>
          <w:b w:val="0"/>
          <w:bCs w:val="0"/>
          <w:color w:val="000000"/>
          <w:sz w:val="28"/>
          <w:szCs w:val="28"/>
          <w:lang w:val="en-US" w:eastAsia="zh-CN" w:bidi="ar-SA"/>
        </w:rPr>
        <w:t>（五）质量要求与验收</w:t>
      </w:r>
    </w:p>
    <w:p w14:paraId="5E2642E7">
      <w:pPr>
        <w:widowControl/>
        <w:kinsoku/>
        <w:wordWrap/>
        <w:overflowPunct/>
        <w:topLinePunct w:val="0"/>
        <w:autoSpaceDE/>
        <w:autoSpaceDN/>
        <w:bidi w:val="0"/>
        <w:adjustRightInd w:val="0"/>
        <w:snapToGrid w:val="0"/>
        <w:spacing w:after="12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设计成果应满足</w:t>
      </w:r>
      <w:r>
        <w:rPr>
          <w:rFonts w:hint="eastAsia" w:ascii="仿宋" w:hAnsi="仿宋" w:eastAsia="仿宋" w:cs="仿宋"/>
          <w:b w:val="0"/>
          <w:color w:val="000000"/>
          <w:sz w:val="28"/>
          <w:szCs w:val="28"/>
          <w:lang w:val="en-US" w:eastAsia="zh-CN" w:bidi="ar-SA"/>
        </w:rPr>
        <w:t>需求</w:t>
      </w:r>
      <w:r>
        <w:rPr>
          <w:rFonts w:hint="eastAsia" w:ascii="仿宋" w:hAnsi="仿宋" w:eastAsia="仿宋" w:cs="仿宋"/>
          <w:b w:val="0"/>
          <w:color w:val="000000"/>
          <w:sz w:val="28"/>
          <w:szCs w:val="28"/>
          <w:lang w:val="en-US" w:eastAsia="en-US" w:bidi="ar-SA"/>
        </w:rPr>
        <w:t>文件、合同约定、</w:t>
      </w:r>
      <w:r>
        <w:rPr>
          <w:rFonts w:hint="eastAsia" w:ascii="仿宋" w:hAnsi="仿宋" w:eastAsia="仿宋" w:cs="仿宋"/>
          <w:b w:val="0"/>
          <w:color w:val="000000"/>
          <w:sz w:val="28"/>
          <w:szCs w:val="28"/>
          <w:lang w:val="en-US" w:eastAsia="zh-CN" w:bidi="ar-SA"/>
        </w:rPr>
        <w:t>需求方</w:t>
      </w:r>
      <w:r>
        <w:rPr>
          <w:rFonts w:hint="eastAsia" w:ascii="仿宋" w:hAnsi="仿宋" w:eastAsia="仿宋" w:cs="仿宋"/>
          <w:b w:val="0"/>
          <w:color w:val="000000"/>
          <w:sz w:val="28"/>
          <w:szCs w:val="28"/>
          <w:lang w:val="en-US" w:eastAsia="en-US" w:bidi="ar-SA"/>
        </w:rPr>
        <w:t>审定意见和现行相关规范要求，做到内容完整、图纸清晰、参数一致、标识准确、设备点位合理、标本信息可追溯。</w:t>
      </w:r>
      <w:r>
        <w:rPr>
          <w:rFonts w:hint="eastAsia" w:ascii="仿宋" w:hAnsi="仿宋" w:eastAsia="仿宋" w:cs="仿宋"/>
          <w:b w:val="0"/>
          <w:color w:val="000000"/>
          <w:sz w:val="28"/>
          <w:szCs w:val="28"/>
          <w:lang w:val="en-US" w:eastAsia="zh-CN" w:bidi="ar-SA"/>
        </w:rPr>
        <w:t>需求方</w:t>
      </w:r>
      <w:r>
        <w:rPr>
          <w:rFonts w:hint="eastAsia" w:ascii="仿宋" w:hAnsi="仿宋" w:eastAsia="仿宋" w:cs="仿宋"/>
          <w:b w:val="0"/>
          <w:color w:val="000000"/>
          <w:sz w:val="28"/>
          <w:szCs w:val="28"/>
          <w:lang w:val="en-US" w:eastAsia="en-US" w:bidi="ar-SA"/>
        </w:rPr>
        <w:t>根据阶段成果、审定意见、现场实施情况和合同约定组织验收。</w:t>
      </w:r>
    </w:p>
    <w:p w14:paraId="33745FD8">
      <w:pPr>
        <w:keepNext w:val="0"/>
        <w:keepLines w:val="0"/>
        <w:pageBreakBefore w:val="0"/>
        <w:widowControl/>
        <w:kinsoku/>
        <w:wordWrap/>
        <w:overflowPunct/>
        <w:topLinePunct w:val="0"/>
        <w:autoSpaceDE/>
        <w:autoSpaceDN/>
        <w:bidi w:val="0"/>
        <w:adjustRightInd w:val="0"/>
        <w:snapToGrid w:val="0"/>
        <w:spacing w:after="6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（1）方案成果应完成内容框架、空间布局、参观动线、展示形式和重点效果表达，并通过</w:t>
      </w:r>
      <w:r>
        <w:rPr>
          <w:rFonts w:hint="eastAsia" w:ascii="仿宋" w:hAnsi="仿宋" w:eastAsia="仿宋" w:cs="仿宋"/>
          <w:b w:val="0"/>
          <w:color w:val="000000"/>
          <w:sz w:val="28"/>
          <w:szCs w:val="28"/>
          <w:lang w:val="en-US" w:eastAsia="zh-CN" w:bidi="ar-SA"/>
        </w:rPr>
        <w:t>需求方</w:t>
      </w:r>
      <w:r>
        <w:rPr>
          <w:rFonts w:hint="eastAsia" w:ascii="仿宋" w:hAnsi="仿宋" w:eastAsia="仿宋" w:cs="仿宋"/>
          <w:b w:val="0"/>
          <w:color w:val="000000"/>
          <w:sz w:val="28"/>
          <w:szCs w:val="28"/>
          <w:lang w:val="en-US" w:eastAsia="en-US" w:bidi="ar-SA"/>
        </w:rPr>
        <w:t>审定。</w:t>
      </w:r>
    </w:p>
    <w:p w14:paraId="1270F1F9">
      <w:pPr>
        <w:keepNext w:val="0"/>
        <w:keepLines w:val="0"/>
        <w:pageBreakBefore w:val="0"/>
        <w:widowControl/>
        <w:kinsoku/>
        <w:wordWrap/>
        <w:overflowPunct/>
        <w:topLinePunct w:val="0"/>
        <w:autoSpaceDE/>
        <w:autoSpaceDN/>
        <w:bidi w:val="0"/>
        <w:adjustRightInd w:val="0"/>
        <w:snapToGrid w:val="0"/>
        <w:spacing w:after="6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（2）深化及施工图成果应满足现场实施、工程量核对、材料工艺确认和专业协同要求。</w:t>
      </w:r>
    </w:p>
    <w:p w14:paraId="53B9EBAB">
      <w:pPr>
        <w:keepNext w:val="0"/>
        <w:keepLines w:val="0"/>
        <w:pageBreakBefore w:val="0"/>
        <w:widowControl/>
        <w:kinsoku/>
        <w:wordWrap/>
        <w:overflowPunct/>
        <w:topLinePunct w:val="0"/>
        <w:autoSpaceDE/>
        <w:autoSpaceDN/>
        <w:bidi w:val="0"/>
        <w:adjustRightInd w:val="0"/>
        <w:snapToGrid w:val="0"/>
        <w:spacing w:after="6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（3）数字多媒体及互动设备应完成安装调试、内容导入、功能测试和必要的试运行。</w:t>
      </w:r>
    </w:p>
    <w:p w14:paraId="3E7DA47D">
      <w:pPr>
        <w:keepNext w:val="0"/>
        <w:keepLines w:val="0"/>
        <w:pageBreakBefore w:val="0"/>
        <w:widowControl/>
        <w:kinsoku/>
        <w:wordWrap/>
        <w:overflowPunct/>
        <w:topLinePunct w:val="0"/>
        <w:autoSpaceDE/>
        <w:autoSpaceDN/>
        <w:bidi w:val="0"/>
        <w:adjustRightInd w:val="0"/>
        <w:snapToGrid w:val="0"/>
        <w:spacing w:after="6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（4）标本展示应完成清单核对、标签核对、展柜陈列、照明检查和安全检查。</w:t>
      </w:r>
    </w:p>
    <w:p w14:paraId="04C9896B">
      <w:pPr>
        <w:keepNext w:val="0"/>
        <w:keepLines w:val="0"/>
        <w:pageBreakBefore w:val="0"/>
        <w:widowControl/>
        <w:kinsoku/>
        <w:wordWrap/>
        <w:overflowPunct/>
        <w:topLinePunct w:val="0"/>
        <w:autoSpaceDE/>
        <w:autoSpaceDN/>
        <w:bidi w:val="0"/>
        <w:adjustRightInd w:val="0"/>
        <w:snapToGrid w:val="0"/>
        <w:spacing w:after="6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（5）验收发现的问题，设计单位应在</w:t>
      </w:r>
      <w:r>
        <w:rPr>
          <w:rFonts w:hint="eastAsia" w:ascii="仿宋" w:hAnsi="仿宋" w:eastAsia="仿宋" w:cs="仿宋"/>
          <w:b w:val="0"/>
          <w:color w:val="000000"/>
          <w:sz w:val="28"/>
          <w:szCs w:val="28"/>
          <w:lang w:val="en-US" w:eastAsia="zh-CN" w:bidi="ar-SA"/>
        </w:rPr>
        <w:t>需求方</w:t>
      </w:r>
      <w:r>
        <w:rPr>
          <w:rFonts w:hint="eastAsia" w:ascii="仿宋" w:hAnsi="仿宋" w:eastAsia="仿宋" w:cs="仿宋"/>
          <w:b w:val="0"/>
          <w:color w:val="000000"/>
          <w:sz w:val="28"/>
          <w:szCs w:val="28"/>
          <w:lang w:val="en-US" w:eastAsia="en-US" w:bidi="ar-SA"/>
        </w:rPr>
        <w:t>要求的期限内完成整改，整改期限为</w:t>
      </w:r>
      <w:r>
        <w:rPr>
          <w:rFonts w:hint="eastAsia" w:ascii="仿宋" w:hAnsi="仿宋" w:eastAsia="仿宋" w:cs="仿宋"/>
          <w:b w:val="0"/>
          <w:color w:val="000000"/>
          <w:sz w:val="28"/>
          <w:szCs w:val="28"/>
          <w:lang w:val="en-US" w:eastAsia="zh-CN" w:bidi="ar-SA"/>
        </w:rPr>
        <w:t>30</w:t>
      </w:r>
      <w:r>
        <w:rPr>
          <w:rFonts w:hint="eastAsia" w:ascii="仿宋" w:hAnsi="仿宋" w:eastAsia="仿宋" w:cs="仿宋"/>
          <w:b w:val="0"/>
          <w:color w:val="000000"/>
          <w:sz w:val="28"/>
          <w:szCs w:val="28"/>
          <w:lang w:val="en-US" w:eastAsia="en-US" w:bidi="ar-SA"/>
        </w:rPr>
        <w:t>日历天。</w:t>
      </w:r>
    </w:p>
    <w:p w14:paraId="1D4D50B6">
      <w:pPr>
        <w:keepNext/>
        <w:keepLines/>
        <w:widowControl/>
        <w:kinsoku/>
        <w:wordWrap/>
        <w:overflowPunct/>
        <w:topLinePunct w:val="0"/>
        <w:autoSpaceDE/>
        <w:autoSpaceDN/>
        <w:bidi w:val="0"/>
        <w:adjustRightInd w:val="0"/>
        <w:snapToGrid w:val="0"/>
        <w:spacing w:before="200" w:after="100" w:line="440" w:lineRule="exact"/>
        <w:ind w:firstLine="0"/>
        <w:textAlignment w:val="auto"/>
        <w:outlineLvl w:val="1"/>
        <w:rPr>
          <w:rFonts w:hint="eastAsia" w:ascii="楷体" w:hAnsi="楷体" w:eastAsia="楷体" w:cs="楷体"/>
          <w:b w:val="0"/>
          <w:bCs w:val="0"/>
          <w:color w:val="000000"/>
          <w:sz w:val="28"/>
          <w:szCs w:val="28"/>
          <w:lang w:val="en-US" w:eastAsia="zh-CN" w:bidi="ar-SA"/>
        </w:rPr>
      </w:pPr>
      <w:r>
        <w:rPr>
          <w:rFonts w:hint="eastAsia" w:ascii="楷体" w:hAnsi="楷体" w:eastAsia="楷体" w:cs="楷体"/>
          <w:b w:val="0"/>
          <w:bCs w:val="0"/>
          <w:color w:val="000000"/>
          <w:sz w:val="28"/>
          <w:szCs w:val="28"/>
          <w:lang w:val="en-US" w:eastAsia="zh-CN" w:bidi="ar-SA"/>
        </w:rPr>
        <w:t>（六）培训、维护及售后配合</w:t>
      </w:r>
    </w:p>
    <w:p w14:paraId="6B2C69FA">
      <w:pPr>
        <w:widowControl/>
        <w:kinsoku/>
        <w:wordWrap/>
        <w:overflowPunct/>
        <w:topLinePunct w:val="0"/>
        <w:autoSpaceDE/>
        <w:autoSpaceDN/>
        <w:bidi w:val="0"/>
        <w:adjustRightInd w:val="0"/>
        <w:snapToGrid w:val="0"/>
        <w:spacing w:after="12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设计单位应配合</w:t>
      </w:r>
      <w:r>
        <w:rPr>
          <w:rFonts w:hint="eastAsia" w:ascii="仿宋" w:hAnsi="仿宋" w:eastAsia="仿宋" w:cs="仿宋"/>
          <w:b w:val="0"/>
          <w:color w:val="000000"/>
          <w:sz w:val="28"/>
          <w:szCs w:val="28"/>
          <w:lang w:val="en-US" w:eastAsia="zh-CN" w:bidi="ar-SA"/>
        </w:rPr>
        <w:t>需求方</w:t>
      </w:r>
      <w:r>
        <w:rPr>
          <w:rFonts w:hint="eastAsia" w:ascii="仿宋" w:hAnsi="仿宋" w:eastAsia="仿宋" w:cs="仿宋"/>
          <w:b w:val="0"/>
          <w:color w:val="000000"/>
          <w:sz w:val="28"/>
          <w:szCs w:val="28"/>
          <w:lang w:val="en-US" w:eastAsia="en-US" w:bidi="ar-SA"/>
        </w:rPr>
        <w:t>完成场馆管理人员、数字系统管理人员和相关使用人员的培训，培训内容包括展陈内容更新、标本信息维护、数字系统操作、设备日常检查和常见问题处理。</w:t>
      </w:r>
    </w:p>
    <w:p w14:paraId="24C07ABC">
      <w:pPr>
        <w:keepNext/>
        <w:keepLines/>
        <w:widowControl/>
        <w:kinsoku/>
        <w:wordWrap/>
        <w:overflowPunct/>
        <w:topLinePunct w:val="0"/>
        <w:autoSpaceDE/>
        <w:autoSpaceDN/>
        <w:bidi w:val="0"/>
        <w:adjustRightInd w:val="0"/>
        <w:snapToGrid w:val="0"/>
        <w:spacing w:before="200" w:after="100" w:line="440" w:lineRule="exact"/>
        <w:ind w:firstLine="0"/>
        <w:textAlignment w:val="auto"/>
        <w:outlineLvl w:val="1"/>
        <w:rPr>
          <w:rFonts w:hint="eastAsia" w:ascii="楷体" w:hAnsi="楷体" w:eastAsia="楷体" w:cs="楷体"/>
          <w:b w:val="0"/>
          <w:bCs w:val="0"/>
          <w:color w:val="000000"/>
          <w:sz w:val="28"/>
          <w:szCs w:val="28"/>
          <w:lang w:val="en-US" w:eastAsia="zh-CN" w:bidi="ar-SA"/>
        </w:rPr>
      </w:pPr>
      <w:r>
        <w:rPr>
          <w:rFonts w:hint="eastAsia" w:ascii="楷体" w:hAnsi="楷体" w:eastAsia="楷体" w:cs="楷体"/>
          <w:b w:val="0"/>
          <w:bCs w:val="0"/>
          <w:color w:val="000000"/>
          <w:sz w:val="28"/>
          <w:szCs w:val="28"/>
          <w:lang w:val="en-US" w:eastAsia="zh-CN" w:bidi="ar-SA"/>
        </w:rPr>
        <w:t>（七）安全、保密及资料管理</w:t>
      </w:r>
    </w:p>
    <w:p w14:paraId="4B9792B8">
      <w:pPr>
        <w:widowControl/>
        <w:kinsoku/>
        <w:wordWrap/>
        <w:overflowPunct/>
        <w:topLinePunct w:val="0"/>
        <w:autoSpaceDE/>
        <w:autoSpaceDN/>
        <w:bidi w:val="0"/>
        <w:adjustRightInd w:val="0"/>
        <w:snapToGrid w:val="0"/>
        <w:spacing w:after="12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设计单位及其工作人员应遵守</w:t>
      </w:r>
      <w:r>
        <w:rPr>
          <w:rFonts w:hint="eastAsia" w:ascii="仿宋" w:hAnsi="仿宋" w:eastAsia="仿宋" w:cs="仿宋"/>
          <w:b w:val="0"/>
          <w:color w:val="000000"/>
          <w:sz w:val="28"/>
          <w:szCs w:val="28"/>
          <w:lang w:val="en-US" w:eastAsia="zh-CN" w:bidi="ar-SA"/>
        </w:rPr>
        <w:t>需求方</w:t>
      </w:r>
      <w:r>
        <w:rPr>
          <w:rFonts w:hint="eastAsia" w:ascii="仿宋" w:hAnsi="仿宋" w:eastAsia="仿宋" w:cs="仿宋"/>
          <w:b w:val="0"/>
          <w:color w:val="000000"/>
          <w:sz w:val="28"/>
          <w:szCs w:val="28"/>
          <w:lang w:val="en-US" w:eastAsia="en-US" w:bidi="ar-SA"/>
        </w:rPr>
        <w:t>现场管理制度和安全管理要求，未经</w:t>
      </w:r>
      <w:r>
        <w:rPr>
          <w:rFonts w:hint="eastAsia" w:ascii="仿宋" w:hAnsi="仿宋" w:eastAsia="仿宋" w:cs="仿宋"/>
          <w:b w:val="0"/>
          <w:color w:val="000000"/>
          <w:sz w:val="28"/>
          <w:szCs w:val="28"/>
          <w:lang w:val="en-US" w:eastAsia="zh-CN" w:bidi="ar-SA"/>
        </w:rPr>
        <w:t>需求方</w:t>
      </w:r>
      <w:r>
        <w:rPr>
          <w:rFonts w:hint="eastAsia" w:ascii="仿宋" w:hAnsi="仿宋" w:eastAsia="仿宋" w:cs="仿宋"/>
          <w:b w:val="0"/>
          <w:color w:val="000000"/>
          <w:sz w:val="28"/>
          <w:szCs w:val="28"/>
          <w:lang w:val="en-US" w:eastAsia="en-US" w:bidi="ar-SA"/>
        </w:rPr>
        <w:t>书面同意不得擅自拍摄、复制、传播或对外发布院史资料、科研成果、未公开技术</w:t>
      </w:r>
      <w:r>
        <w:rPr>
          <w:rFonts w:hint="eastAsia" w:ascii="仿宋" w:hAnsi="仿宋" w:eastAsia="仿宋" w:cs="仿宋"/>
          <w:b w:val="0"/>
          <w:color w:val="000000"/>
          <w:sz w:val="28"/>
          <w:szCs w:val="28"/>
          <w:lang w:val="en-US" w:eastAsia="zh-CN" w:bidi="ar-SA"/>
        </w:rPr>
        <w:t>信息</w:t>
      </w:r>
      <w:r>
        <w:rPr>
          <w:rFonts w:hint="eastAsia" w:ascii="仿宋" w:hAnsi="仿宋" w:eastAsia="仿宋" w:cs="仿宋"/>
          <w:b w:val="0"/>
          <w:color w:val="000000"/>
          <w:sz w:val="28"/>
          <w:szCs w:val="28"/>
          <w:lang w:val="en-US" w:eastAsia="en-US" w:bidi="ar-SA"/>
        </w:rPr>
        <w:t>内部文件及其他项目资料。项目实施过程中的资料应分类保管，离场或项目结束时按</w:t>
      </w:r>
      <w:r>
        <w:rPr>
          <w:rFonts w:hint="eastAsia" w:ascii="仿宋" w:hAnsi="仿宋" w:eastAsia="仿宋" w:cs="仿宋"/>
          <w:b w:val="0"/>
          <w:color w:val="000000"/>
          <w:sz w:val="28"/>
          <w:szCs w:val="28"/>
          <w:lang w:val="en-US" w:eastAsia="zh-CN" w:bidi="ar-SA"/>
        </w:rPr>
        <w:t>需求方</w:t>
      </w:r>
      <w:r>
        <w:rPr>
          <w:rFonts w:hint="eastAsia" w:ascii="仿宋" w:hAnsi="仿宋" w:eastAsia="仿宋" w:cs="仿宋"/>
          <w:b w:val="0"/>
          <w:color w:val="000000"/>
          <w:sz w:val="28"/>
          <w:szCs w:val="28"/>
          <w:lang w:val="en-US" w:eastAsia="en-US" w:bidi="ar-SA"/>
        </w:rPr>
        <w:t>要求移交或清理。</w:t>
      </w:r>
    </w:p>
    <w:p w14:paraId="194CFC3D">
      <w:pPr>
        <w:keepNext/>
        <w:keepLines/>
        <w:widowControl/>
        <w:kinsoku/>
        <w:wordWrap/>
        <w:overflowPunct/>
        <w:topLinePunct w:val="0"/>
        <w:autoSpaceDE/>
        <w:autoSpaceDN/>
        <w:bidi w:val="0"/>
        <w:adjustRightInd w:val="0"/>
        <w:snapToGrid w:val="0"/>
        <w:spacing w:before="200" w:after="100" w:line="440" w:lineRule="exact"/>
        <w:ind w:firstLine="0"/>
        <w:textAlignment w:val="auto"/>
        <w:outlineLvl w:val="1"/>
        <w:rPr>
          <w:rFonts w:hint="eastAsia" w:ascii="楷体" w:hAnsi="楷体" w:eastAsia="楷体" w:cs="楷体"/>
          <w:b w:val="0"/>
          <w:bCs w:val="0"/>
          <w:color w:val="000000"/>
          <w:sz w:val="28"/>
          <w:szCs w:val="28"/>
          <w:lang w:val="en-US" w:eastAsia="zh-CN" w:bidi="ar-SA"/>
        </w:rPr>
      </w:pPr>
      <w:r>
        <w:rPr>
          <w:rFonts w:hint="eastAsia" w:ascii="楷体" w:hAnsi="楷体" w:eastAsia="楷体" w:cs="楷体"/>
          <w:b w:val="0"/>
          <w:bCs w:val="0"/>
          <w:color w:val="000000"/>
          <w:sz w:val="28"/>
          <w:szCs w:val="28"/>
          <w:lang w:val="en-US" w:eastAsia="zh-CN" w:bidi="ar-SA"/>
        </w:rPr>
        <w:t>（八）知识产权与资料使用</w:t>
      </w:r>
    </w:p>
    <w:p w14:paraId="0A699EF6">
      <w:pPr>
        <w:widowControl/>
        <w:kinsoku/>
        <w:wordWrap/>
        <w:overflowPunct/>
        <w:topLinePunct w:val="0"/>
        <w:autoSpaceDE/>
        <w:autoSpaceDN/>
        <w:bidi w:val="0"/>
        <w:adjustRightInd w:val="0"/>
        <w:snapToGrid w:val="0"/>
        <w:spacing w:after="12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设计单位提交的设计成果、图文组织成果、数字内容、展柜及展示形式设计等，应保证来源合法，不得侵犯第三方的著作权、商标权、专利权或其他合法权益。涉及</w:t>
      </w:r>
      <w:r>
        <w:rPr>
          <w:rFonts w:hint="eastAsia" w:ascii="仿宋" w:hAnsi="仿宋" w:eastAsia="仿宋" w:cs="仿宋"/>
          <w:b w:val="0"/>
          <w:color w:val="000000"/>
          <w:sz w:val="28"/>
          <w:szCs w:val="28"/>
          <w:lang w:val="en-US" w:eastAsia="zh-CN" w:bidi="ar-SA"/>
        </w:rPr>
        <w:t>需求方</w:t>
      </w:r>
      <w:r>
        <w:rPr>
          <w:rFonts w:hint="eastAsia" w:ascii="仿宋" w:hAnsi="仿宋" w:eastAsia="仿宋" w:cs="仿宋"/>
          <w:b w:val="0"/>
          <w:color w:val="000000"/>
          <w:sz w:val="28"/>
          <w:szCs w:val="28"/>
          <w:lang w:val="en-US" w:eastAsia="en-US" w:bidi="ar-SA"/>
        </w:rPr>
        <w:t>提供的资料，设计单位仅限于本项目使用，不得擅自用于其他项目或商业用途。成果权属及第三方授权责任按照合同约定执行。</w:t>
      </w:r>
    </w:p>
    <w:p w14:paraId="1D34149A">
      <w:pPr>
        <w:keepNext/>
        <w:keepLines/>
        <w:widowControl/>
        <w:kinsoku/>
        <w:wordWrap/>
        <w:overflowPunct/>
        <w:topLinePunct w:val="0"/>
        <w:autoSpaceDE/>
        <w:autoSpaceDN/>
        <w:bidi w:val="0"/>
        <w:adjustRightInd w:val="0"/>
        <w:snapToGrid w:val="0"/>
        <w:spacing w:before="200" w:after="100" w:line="440" w:lineRule="exact"/>
        <w:ind w:firstLine="0"/>
        <w:textAlignment w:val="auto"/>
        <w:outlineLvl w:val="1"/>
        <w:rPr>
          <w:rFonts w:hint="eastAsia" w:ascii="楷体" w:hAnsi="楷体" w:eastAsia="楷体" w:cs="楷体"/>
          <w:b w:val="0"/>
          <w:bCs w:val="0"/>
          <w:color w:val="000000"/>
          <w:sz w:val="28"/>
          <w:szCs w:val="28"/>
          <w:lang w:val="en-US" w:eastAsia="zh-CN" w:bidi="ar-SA"/>
        </w:rPr>
      </w:pPr>
      <w:r>
        <w:rPr>
          <w:rFonts w:hint="eastAsia" w:ascii="楷体" w:hAnsi="楷体" w:eastAsia="楷体" w:cs="楷体"/>
          <w:b w:val="0"/>
          <w:bCs w:val="0"/>
          <w:color w:val="000000"/>
          <w:sz w:val="28"/>
          <w:szCs w:val="28"/>
          <w:lang w:val="en-US" w:eastAsia="zh-CN" w:bidi="ar-SA"/>
        </w:rPr>
        <w:t>（九）变更、偏差与合同执行</w:t>
      </w:r>
    </w:p>
    <w:p w14:paraId="4D39DA80">
      <w:pPr>
        <w:widowControl/>
        <w:kinsoku/>
        <w:wordWrap/>
        <w:overflowPunct/>
        <w:topLinePunct w:val="0"/>
        <w:autoSpaceDE/>
        <w:autoSpaceDN/>
        <w:bidi w:val="0"/>
        <w:adjustRightInd w:val="0"/>
        <w:snapToGrid w:val="0"/>
        <w:spacing w:after="12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项目实施过程中，因现场条件、标本清单、展陈内容、设备选型、材料供应或</w:t>
      </w:r>
      <w:r>
        <w:rPr>
          <w:rFonts w:hint="eastAsia" w:ascii="仿宋" w:hAnsi="仿宋" w:eastAsia="仿宋" w:cs="仿宋"/>
          <w:b w:val="0"/>
          <w:color w:val="000000"/>
          <w:sz w:val="28"/>
          <w:szCs w:val="28"/>
          <w:lang w:val="en-US" w:eastAsia="zh-CN" w:bidi="ar-SA"/>
        </w:rPr>
        <w:t>需求方</w:t>
      </w:r>
      <w:r>
        <w:rPr>
          <w:rFonts w:hint="eastAsia" w:ascii="仿宋" w:hAnsi="仿宋" w:eastAsia="仿宋" w:cs="仿宋"/>
          <w:b w:val="0"/>
          <w:color w:val="000000"/>
          <w:sz w:val="28"/>
          <w:szCs w:val="28"/>
          <w:lang w:val="en-US" w:eastAsia="en-US" w:bidi="ar-SA"/>
        </w:rPr>
        <w:t>使用需求发生变化，需要调整设计成果的，设计单位应按照</w:t>
      </w:r>
      <w:r>
        <w:rPr>
          <w:rFonts w:hint="eastAsia" w:ascii="仿宋" w:hAnsi="仿宋" w:eastAsia="仿宋" w:cs="仿宋"/>
          <w:b w:val="0"/>
          <w:color w:val="000000"/>
          <w:sz w:val="28"/>
          <w:szCs w:val="28"/>
          <w:lang w:val="en-US" w:eastAsia="zh-CN" w:bidi="ar-SA"/>
        </w:rPr>
        <w:t>需求方</w:t>
      </w:r>
      <w:r>
        <w:rPr>
          <w:rFonts w:hint="eastAsia" w:ascii="仿宋" w:hAnsi="仿宋" w:eastAsia="仿宋" w:cs="仿宋"/>
          <w:b w:val="0"/>
          <w:color w:val="000000"/>
          <w:sz w:val="28"/>
          <w:szCs w:val="28"/>
          <w:lang w:val="en-US" w:eastAsia="en-US" w:bidi="ar-SA"/>
        </w:rPr>
        <w:t>要求配合完成变更和深化。</w:t>
      </w:r>
    </w:p>
    <w:p w14:paraId="40700DB2">
      <w:pPr>
        <w:keepNext/>
        <w:keepLines/>
        <w:widowControl/>
        <w:kinsoku/>
        <w:wordWrap/>
        <w:overflowPunct/>
        <w:topLinePunct w:val="0"/>
        <w:autoSpaceDE/>
        <w:autoSpaceDN/>
        <w:bidi w:val="0"/>
        <w:adjustRightInd w:val="0"/>
        <w:snapToGrid w:val="0"/>
        <w:spacing w:before="200" w:after="100" w:line="440" w:lineRule="exact"/>
        <w:ind w:firstLine="0"/>
        <w:textAlignment w:val="auto"/>
        <w:outlineLvl w:val="1"/>
        <w:rPr>
          <w:rFonts w:hint="eastAsia" w:ascii="楷体" w:hAnsi="楷体" w:eastAsia="楷体" w:cs="楷体"/>
          <w:b w:val="0"/>
          <w:bCs w:val="0"/>
          <w:color w:val="000000"/>
          <w:sz w:val="28"/>
          <w:szCs w:val="28"/>
          <w:lang w:val="en-US" w:eastAsia="zh-CN" w:bidi="ar-SA"/>
        </w:rPr>
      </w:pPr>
      <w:r>
        <w:rPr>
          <w:rFonts w:hint="eastAsia" w:ascii="楷体" w:hAnsi="楷体" w:eastAsia="楷体" w:cs="楷体"/>
          <w:b w:val="0"/>
          <w:bCs w:val="0"/>
          <w:color w:val="000000"/>
          <w:sz w:val="28"/>
          <w:szCs w:val="28"/>
          <w:lang w:val="en-US" w:eastAsia="zh-CN" w:bidi="ar-SA"/>
        </w:rPr>
        <w:t>（十）付款及其他未尽事项</w:t>
      </w:r>
    </w:p>
    <w:p w14:paraId="026AA371">
      <w:pPr>
        <w:widowControl/>
        <w:kinsoku/>
        <w:wordWrap/>
        <w:overflowPunct/>
        <w:topLinePunct w:val="0"/>
        <w:autoSpaceDE/>
        <w:autoSpaceDN/>
        <w:bidi w:val="0"/>
        <w:adjustRightInd w:val="0"/>
        <w:snapToGrid w:val="0"/>
        <w:spacing w:after="12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en-US" w:bidi="ar-SA"/>
        </w:rPr>
        <w:t>付款节点、付款比例、发票及结算资料要求按照合同约定执行。项目中未尽事宜由</w:t>
      </w:r>
      <w:r>
        <w:rPr>
          <w:rFonts w:hint="eastAsia" w:ascii="仿宋" w:hAnsi="仿宋" w:eastAsia="仿宋" w:cs="仿宋"/>
          <w:b w:val="0"/>
          <w:color w:val="000000"/>
          <w:sz w:val="28"/>
          <w:szCs w:val="28"/>
          <w:lang w:val="en-US" w:eastAsia="zh-CN" w:bidi="ar-SA"/>
        </w:rPr>
        <w:t>双方</w:t>
      </w:r>
      <w:r>
        <w:rPr>
          <w:rFonts w:hint="eastAsia" w:ascii="仿宋" w:hAnsi="仿宋" w:eastAsia="仿宋" w:cs="仿宋"/>
          <w:b w:val="0"/>
          <w:color w:val="000000"/>
          <w:sz w:val="28"/>
          <w:szCs w:val="28"/>
          <w:lang w:val="en-US" w:eastAsia="en-US" w:bidi="ar-SA"/>
        </w:rPr>
        <w:t>在不改变实质内容的前提下，依据合同及经确认的设计成果协商确定。</w:t>
      </w:r>
    </w:p>
    <w:p w14:paraId="3F5AD633">
      <w:pPr>
        <w:keepNext/>
        <w:keepLines/>
        <w:widowControl/>
        <w:kinsoku/>
        <w:wordWrap/>
        <w:overflowPunct/>
        <w:topLinePunct w:val="0"/>
        <w:autoSpaceDE/>
        <w:autoSpaceDN/>
        <w:bidi w:val="0"/>
        <w:adjustRightInd w:val="0"/>
        <w:snapToGrid w:val="0"/>
        <w:spacing w:before="280" w:after="160" w:line="440" w:lineRule="exact"/>
        <w:ind w:firstLine="0"/>
        <w:textAlignment w:val="auto"/>
        <w:outlineLvl w:val="0"/>
        <w:rPr>
          <w:rFonts w:hint="eastAsia" w:ascii="黑体" w:hAnsi="黑体" w:eastAsia="黑体" w:cs="黑体"/>
          <w:b w:val="0"/>
          <w:bCs w:val="0"/>
          <w:color w:val="000000"/>
          <w:sz w:val="28"/>
          <w:szCs w:val="28"/>
          <w:lang w:val="en-US" w:eastAsia="en-US" w:bidi="ar-SA"/>
        </w:rPr>
      </w:pPr>
      <w:r>
        <w:rPr>
          <w:rFonts w:hint="eastAsia" w:ascii="黑体" w:hAnsi="黑体" w:eastAsia="黑体" w:cs="黑体"/>
          <w:b w:val="0"/>
          <w:bCs w:val="0"/>
          <w:color w:val="000000"/>
          <w:sz w:val="28"/>
          <w:szCs w:val="28"/>
          <w:lang w:val="en-US" w:eastAsia="zh-CN" w:bidi="ar-SA"/>
        </w:rPr>
        <w:t>九</w:t>
      </w:r>
      <w:r>
        <w:rPr>
          <w:rFonts w:hint="eastAsia" w:ascii="黑体" w:hAnsi="黑体" w:eastAsia="黑体" w:cs="黑体"/>
          <w:b w:val="0"/>
          <w:bCs w:val="0"/>
          <w:color w:val="000000"/>
          <w:sz w:val="28"/>
          <w:szCs w:val="28"/>
          <w:lang w:val="en-US" w:eastAsia="en-US" w:bidi="ar-SA"/>
        </w:rPr>
        <w:t>、其他说明</w:t>
      </w:r>
    </w:p>
    <w:p w14:paraId="27B268DF">
      <w:pPr>
        <w:widowControl/>
        <w:kinsoku/>
        <w:wordWrap/>
        <w:overflowPunct/>
        <w:topLinePunct w:val="0"/>
        <w:autoSpaceDE/>
        <w:autoSpaceDN/>
        <w:bidi w:val="0"/>
        <w:adjustRightInd w:val="0"/>
        <w:snapToGrid w:val="0"/>
        <w:spacing w:after="6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zh-CN" w:bidi="ar-SA"/>
        </w:rPr>
        <w:t xml:space="preserve">1. </w:t>
      </w:r>
      <w:r>
        <w:rPr>
          <w:rFonts w:hint="eastAsia" w:ascii="仿宋" w:hAnsi="仿宋" w:eastAsia="仿宋" w:cs="仿宋"/>
          <w:b w:val="0"/>
          <w:color w:val="000000"/>
          <w:sz w:val="28"/>
          <w:szCs w:val="28"/>
          <w:lang w:val="en-US" w:eastAsia="en-US" w:bidi="ar-SA"/>
        </w:rPr>
        <w:t>院史资料、组织架构、时间节点、历史人物、党建成果、科研成果、标本目录、数字内容和相关图片影像资料，以</w:t>
      </w:r>
      <w:r>
        <w:rPr>
          <w:rFonts w:hint="eastAsia" w:ascii="仿宋" w:hAnsi="仿宋" w:eastAsia="仿宋" w:cs="仿宋"/>
          <w:b w:val="0"/>
          <w:color w:val="000000"/>
          <w:sz w:val="28"/>
          <w:szCs w:val="28"/>
          <w:lang w:val="en-US" w:eastAsia="zh-CN" w:bidi="ar-SA"/>
        </w:rPr>
        <w:t>需求方</w:t>
      </w:r>
      <w:r>
        <w:rPr>
          <w:rFonts w:hint="eastAsia" w:ascii="仿宋" w:hAnsi="仿宋" w:eastAsia="仿宋" w:cs="仿宋"/>
          <w:b w:val="0"/>
          <w:color w:val="000000"/>
          <w:sz w:val="28"/>
          <w:szCs w:val="28"/>
          <w:lang w:val="en-US" w:eastAsia="en-US" w:bidi="ar-SA"/>
        </w:rPr>
        <w:t>提供或审定的资料为准。</w:t>
      </w:r>
    </w:p>
    <w:p w14:paraId="4CE73D6D">
      <w:pPr>
        <w:widowControl/>
        <w:kinsoku/>
        <w:wordWrap/>
        <w:overflowPunct/>
        <w:topLinePunct w:val="0"/>
        <w:autoSpaceDE/>
        <w:autoSpaceDN/>
        <w:bidi w:val="0"/>
        <w:adjustRightInd w:val="0"/>
        <w:snapToGrid w:val="0"/>
        <w:spacing w:after="6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zh-CN" w:bidi="ar-SA"/>
        </w:rPr>
        <w:t xml:space="preserve">2. </w:t>
      </w:r>
      <w:r>
        <w:rPr>
          <w:rFonts w:hint="eastAsia" w:ascii="仿宋" w:hAnsi="仿宋" w:eastAsia="仿宋" w:cs="仿宋"/>
          <w:b w:val="0"/>
          <w:color w:val="000000"/>
          <w:sz w:val="28"/>
          <w:szCs w:val="28"/>
          <w:lang w:val="en-US" w:eastAsia="en-US" w:bidi="ar-SA"/>
        </w:rPr>
        <w:t>涉及标本数量、设备数量、展柜容量、屏幕尺寸、环境控制、工期、服务期限、交付份数、培训次数及其他条件的，均以</w:t>
      </w:r>
      <w:r>
        <w:rPr>
          <w:rFonts w:hint="eastAsia" w:ascii="仿宋" w:hAnsi="仿宋" w:eastAsia="仿宋" w:cs="仿宋"/>
          <w:b w:val="0"/>
          <w:color w:val="000000"/>
          <w:sz w:val="28"/>
          <w:szCs w:val="28"/>
          <w:lang w:val="en-US" w:eastAsia="zh-CN" w:bidi="ar-SA"/>
        </w:rPr>
        <w:t>需求方</w:t>
      </w:r>
      <w:r>
        <w:rPr>
          <w:rFonts w:hint="eastAsia" w:ascii="仿宋" w:hAnsi="仿宋" w:eastAsia="仿宋" w:cs="仿宋"/>
          <w:b w:val="0"/>
          <w:color w:val="000000"/>
          <w:sz w:val="28"/>
          <w:szCs w:val="28"/>
          <w:lang w:val="en-US" w:eastAsia="en-US" w:bidi="ar-SA"/>
        </w:rPr>
        <w:t>最终确认和合同约定为准。</w:t>
      </w:r>
    </w:p>
    <w:p w14:paraId="16AAF913">
      <w:pPr>
        <w:widowControl/>
        <w:kinsoku/>
        <w:wordWrap/>
        <w:overflowPunct/>
        <w:topLinePunct w:val="0"/>
        <w:autoSpaceDE/>
        <w:autoSpaceDN/>
        <w:bidi w:val="0"/>
        <w:adjustRightInd w:val="0"/>
        <w:snapToGrid w:val="0"/>
        <w:spacing w:after="60" w:line="440" w:lineRule="exact"/>
        <w:ind w:left="0" w:firstLine="560"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b w:val="0"/>
          <w:color w:val="000000"/>
          <w:sz w:val="28"/>
          <w:szCs w:val="28"/>
          <w:lang w:val="en-US" w:eastAsia="zh-CN" w:bidi="ar-SA"/>
        </w:rPr>
        <w:t xml:space="preserve">3. </w:t>
      </w:r>
      <w:r>
        <w:rPr>
          <w:rFonts w:hint="eastAsia" w:ascii="仿宋" w:hAnsi="仿宋" w:eastAsia="仿宋" w:cs="仿宋"/>
          <w:b w:val="0"/>
          <w:color w:val="000000"/>
          <w:sz w:val="28"/>
          <w:szCs w:val="28"/>
          <w:lang w:val="en-US" w:eastAsia="en-US" w:bidi="ar-SA"/>
        </w:rPr>
        <w:t>项目范围、现场条件、建筑尺寸、机电接口和消防条件应在设计阶段进行复核，最终以现场复尺和审定设计成果为准。</w:t>
      </w:r>
    </w:p>
    <w:p w14:paraId="4777113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eastAsia="zh-CN"/>
        </w:rPr>
      </w:pPr>
    </w:p>
    <w:p w14:paraId="63EF911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eastAsia="zh-CN"/>
        </w:rPr>
      </w:pPr>
    </w:p>
    <w:p w14:paraId="62E4BFB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eastAsia="zh-CN"/>
        </w:rPr>
      </w:pPr>
    </w:p>
    <w:p w14:paraId="7A3927F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eastAsia="zh-CN"/>
        </w:rPr>
      </w:pPr>
    </w:p>
    <w:p w14:paraId="38C5DEDC">
      <w:pP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br w:type="page"/>
      </w:r>
    </w:p>
    <w:p w14:paraId="2A6F6EFE">
      <w:pPr>
        <w:jc w:val="center"/>
        <w:rPr>
          <w:rFonts w:hint="eastAsia" w:eastAsia="黑体" w:cs="Times New Roman"/>
          <w:b w:val="0"/>
          <w:bCs w:val="0"/>
          <w:sz w:val="44"/>
          <w:u w:val="single"/>
          <w:lang w:val="en-US" w:eastAsia="zh-CN"/>
        </w:rPr>
      </w:pPr>
      <w:r>
        <w:rPr>
          <w:rFonts w:hint="eastAsia" w:eastAsia="黑体" w:cs="Times New Roman"/>
          <w:b w:val="0"/>
          <w:bCs w:val="0"/>
          <w:sz w:val="44"/>
          <w:u w:val="single"/>
          <w:lang w:val="en-US" w:eastAsia="zh-CN"/>
        </w:rPr>
        <w:t>湖南省药品检验检测研究院(北院)实验楼翻新提质改造项目规划设计</w:t>
      </w:r>
    </w:p>
    <w:p w14:paraId="6A584632">
      <w:pPr>
        <w:jc w:val="center"/>
        <w:rPr>
          <w:rFonts w:hint="eastAsia" w:ascii="Times New Roman" w:hAnsi="Times New Roman" w:eastAsia="黑体" w:cs="Times New Roman"/>
          <w:b/>
          <w:bCs/>
          <w:sz w:val="44"/>
        </w:rPr>
      </w:pPr>
      <w:r>
        <w:rPr>
          <w:rFonts w:hint="eastAsia" w:eastAsia="黑体" w:cs="Times New Roman"/>
          <w:b/>
          <w:bCs/>
          <w:sz w:val="44"/>
          <w:lang w:val="en-US" w:eastAsia="zh-CN"/>
        </w:rPr>
        <w:t>询价</w:t>
      </w:r>
      <w:r>
        <w:rPr>
          <w:rFonts w:hint="eastAsia" w:ascii="Times New Roman" w:hAnsi="Times New Roman" w:eastAsia="黑体" w:cs="Times New Roman"/>
          <w:b/>
          <w:bCs/>
          <w:sz w:val="44"/>
        </w:rPr>
        <w:t>投标报价</w:t>
      </w:r>
      <w:r>
        <w:rPr>
          <w:rFonts w:hint="eastAsia" w:eastAsia="黑体" w:cs="Times New Roman"/>
          <w:b/>
          <w:bCs/>
          <w:sz w:val="44"/>
          <w:lang w:val="en-US" w:eastAsia="zh-CN"/>
        </w:rPr>
        <w:t>情况报告</w:t>
      </w:r>
      <w:r>
        <w:rPr>
          <w:rFonts w:hint="eastAsia" w:ascii="Times New Roman" w:hAnsi="Times New Roman" w:eastAsia="黑体" w:cs="Times New Roman"/>
          <w:b/>
          <w:bCs/>
          <w:sz w:val="44"/>
        </w:rPr>
        <w:t>表</w:t>
      </w:r>
    </w:p>
    <w:p w14:paraId="20C1D8E8">
      <w:pPr>
        <w:rPr>
          <w:rFonts w:hint="eastAsia" w:ascii="仿宋_GB2312" w:hAnsi="仿宋_GB2312" w:eastAsia="仿宋_GB2312" w:cs="仿宋_GB2312"/>
          <w:sz w:val="32"/>
          <w:szCs w:val="32"/>
          <w:lang w:val="en-US" w:eastAsia="zh-CN"/>
        </w:rPr>
      </w:pPr>
    </w:p>
    <w:p w14:paraId="15A040D8">
      <w:pP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项目名称：湖南省药品检验检测研究院(北院)实验楼翻新提质改造项目规划设计询价项目</w:t>
      </w:r>
    </w:p>
    <w:tbl>
      <w:tblPr>
        <w:tblStyle w:val="3"/>
        <w:tblW w:w="464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5"/>
        <w:gridCol w:w="3856"/>
        <w:gridCol w:w="1937"/>
      </w:tblGrid>
      <w:tr w14:paraId="0CD41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1237" w:type="pct"/>
            <w:noWrap w:val="0"/>
            <w:vAlign w:val="center"/>
          </w:tcPr>
          <w:p w14:paraId="35982E9A">
            <w:pPr>
              <w:jc w:val="center"/>
              <w:rPr>
                <w:rFonts w:hint="eastAsia" w:ascii="宋体" w:hAnsi="宋体" w:eastAsia="宋体" w:cs="Times New Roman"/>
                <w:sz w:val="24"/>
              </w:rPr>
            </w:pPr>
            <w:r>
              <w:rPr>
                <w:rFonts w:hint="eastAsia" w:ascii="宋体" w:hAnsi="宋体" w:eastAsia="宋体" w:cs="Times New Roman"/>
                <w:sz w:val="24"/>
              </w:rPr>
              <w:t>序号</w:t>
            </w:r>
          </w:p>
        </w:tc>
        <w:tc>
          <w:tcPr>
            <w:tcW w:w="2504" w:type="pct"/>
            <w:noWrap w:val="0"/>
            <w:vAlign w:val="center"/>
          </w:tcPr>
          <w:p w14:paraId="379B4DA7">
            <w:pPr>
              <w:jc w:val="center"/>
              <w:rPr>
                <w:rFonts w:hint="eastAsia" w:ascii="宋体" w:hAnsi="宋体" w:eastAsia="宋体" w:cs="Times New Roman"/>
                <w:sz w:val="24"/>
              </w:rPr>
            </w:pPr>
            <w:r>
              <w:rPr>
                <w:rFonts w:hint="eastAsia" w:ascii="宋体" w:hAnsi="宋体" w:eastAsia="宋体" w:cs="Times New Roman"/>
                <w:sz w:val="24"/>
              </w:rPr>
              <w:t>投标人名称</w:t>
            </w:r>
          </w:p>
        </w:tc>
        <w:tc>
          <w:tcPr>
            <w:tcW w:w="1258" w:type="pct"/>
            <w:noWrap w:val="0"/>
            <w:vAlign w:val="center"/>
          </w:tcPr>
          <w:p w14:paraId="6AED03CF">
            <w:pPr>
              <w:jc w:val="center"/>
              <w:rPr>
                <w:rFonts w:hint="eastAsia" w:ascii="宋体" w:hAnsi="宋体" w:eastAsia="宋体" w:cs="Times New Roman"/>
                <w:sz w:val="24"/>
              </w:rPr>
            </w:pPr>
            <w:r>
              <w:rPr>
                <w:rFonts w:hint="eastAsia" w:ascii="宋体" w:hAnsi="宋体" w:eastAsia="宋体" w:cs="Times New Roman"/>
                <w:sz w:val="24"/>
              </w:rPr>
              <w:t>报价（元）</w:t>
            </w:r>
          </w:p>
        </w:tc>
      </w:tr>
      <w:tr w14:paraId="5814A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1237" w:type="pct"/>
            <w:noWrap w:val="0"/>
            <w:vAlign w:val="center"/>
          </w:tcPr>
          <w:p w14:paraId="247ADDDF">
            <w:pPr>
              <w:jc w:val="center"/>
              <w:rPr>
                <w:rFonts w:hint="eastAsia" w:ascii="宋体" w:hAnsi="宋体" w:eastAsia="宋体" w:cs="Times New Roman"/>
                <w:sz w:val="24"/>
              </w:rPr>
            </w:pPr>
            <w:r>
              <w:rPr>
                <w:rFonts w:hint="eastAsia" w:ascii="Times New Roman" w:hAnsi="Times New Roman" w:eastAsia="宋体" w:cs="Times New Roman"/>
                <w:sz w:val="28"/>
              </w:rPr>
              <w:t>1</w:t>
            </w:r>
          </w:p>
        </w:tc>
        <w:tc>
          <w:tcPr>
            <w:tcW w:w="2504" w:type="pct"/>
            <w:noWrap w:val="0"/>
            <w:vAlign w:val="center"/>
          </w:tcPr>
          <w:p w14:paraId="237F89F5">
            <w:pPr>
              <w:jc w:val="center"/>
              <w:rPr>
                <w:rFonts w:hint="default" w:ascii="宋体" w:hAnsi="宋体" w:eastAsia="宋体" w:cs="Times New Roman"/>
                <w:kern w:val="2"/>
                <w:sz w:val="24"/>
                <w:szCs w:val="24"/>
                <w:lang w:val="en-US" w:eastAsia="zh-CN" w:bidi="ar-SA"/>
              </w:rPr>
            </w:pPr>
          </w:p>
        </w:tc>
        <w:tc>
          <w:tcPr>
            <w:tcW w:w="1258" w:type="pct"/>
            <w:noWrap w:val="0"/>
            <w:vAlign w:val="center"/>
          </w:tcPr>
          <w:p w14:paraId="3A3B8D6E">
            <w:pPr>
              <w:jc w:val="center"/>
              <w:rPr>
                <w:rFonts w:hint="default" w:ascii="宋体" w:hAnsi="宋体" w:eastAsia="宋体" w:cs="Times New Roman"/>
                <w:sz w:val="24"/>
                <w:lang w:val="en-US" w:eastAsia="zh-CN"/>
              </w:rPr>
            </w:pPr>
          </w:p>
        </w:tc>
      </w:tr>
      <w:tr w14:paraId="52AB3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1237" w:type="pct"/>
            <w:noWrap w:val="0"/>
            <w:vAlign w:val="center"/>
          </w:tcPr>
          <w:p w14:paraId="1863DFB9">
            <w:pPr>
              <w:jc w:val="center"/>
              <w:rPr>
                <w:rFonts w:hint="eastAsia" w:ascii="宋体" w:hAnsi="宋体" w:eastAsia="宋体" w:cs="Times New Roman"/>
                <w:sz w:val="24"/>
                <w:lang w:eastAsia="zh-CN"/>
              </w:rPr>
            </w:pPr>
            <w:r>
              <w:rPr>
                <w:rFonts w:hint="eastAsia" w:ascii="Times New Roman" w:hAnsi="Times New Roman" w:eastAsia="宋体" w:cs="Times New Roman"/>
                <w:sz w:val="28"/>
                <w:lang w:val="en-US" w:eastAsia="zh-CN"/>
              </w:rPr>
              <w:t>2</w:t>
            </w:r>
          </w:p>
        </w:tc>
        <w:tc>
          <w:tcPr>
            <w:tcW w:w="2504" w:type="pct"/>
            <w:noWrap w:val="0"/>
            <w:vAlign w:val="center"/>
          </w:tcPr>
          <w:p w14:paraId="32626433">
            <w:pPr>
              <w:jc w:val="center"/>
              <w:rPr>
                <w:rFonts w:hint="default" w:ascii="宋体" w:hAnsi="宋体" w:eastAsia="宋体" w:cs="Times New Roman"/>
                <w:kern w:val="2"/>
                <w:sz w:val="24"/>
                <w:szCs w:val="24"/>
                <w:lang w:val="en-US" w:eastAsia="zh-CN" w:bidi="ar-SA"/>
              </w:rPr>
            </w:pPr>
          </w:p>
        </w:tc>
        <w:tc>
          <w:tcPr>
            <w:tcW w:w="1258" w:type="pct"/>
            <w:noWrap w:val="0"/>
            <w:vAlign w:val="center"/>
          </w:tcPr>
          <w:p w14:paraId="517F1E3C">
            <w:pPr>
              <w:jc w:val="center"/>
              <w:rPr>
                <w:rFonts w:hint="default" w:ascii="宋体" w:hAnsi="宋体" w:eastAsia="宋体" w:cs="Times New Roman"/>
                <w:sz w:val="24"/>
                <w:lang w:val="en-US" w:eastAsia="zh-CN"/>
              </w:rPr>
            </w:pPr>
          </w:p>
        </w:tc>
      </w:tr>
      <w:tr w14:paraId="4740D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1237" w:type="pct"/>
            <w:noWrap w:val="0"/>
            <w:vAlign w:val="center"/>
          </w:tcPr>
          <w:p w14:paraId="32A6A210">
            <w:pPr>
              <w:jc w:val="center"/>
              <w:rPr>
                <w:rFonts w:hint="eastAsia" w:ascii="宋体" w:hAnsi="宋体" w:eastAsia="宋体" w:cs="Times New Roman"/>
                <w:sz w:val="24"/>
                <w:lang w:eastAsia="zh-CN"/>
              </w:rPr>
            </w:pPr>
            <w:r>
              <w:rPr>
                <w:rFonts w:hint="eastAsia" w:ascii="Times New Roman" w:hAnsi="Times New Roman" w:eastAsia="宋体" w:cs="Times New Roman"/>
                <w:sz w:val="28"/>
                <w:lang w:val="en-US" w:eastAsia="zh-CN"/>
              </w:rPr>
              <w:t>3</w:t>
            </w:r>
          </w:p>
        </w:tc>
        <w:tc>
          <w:tcPr>
            <w:tcW w:w="2504" w:type="pct"/>
            <w:noWrap w:val="0"/>
            <w:vAlign w:val="center"/>
          </w:tcPr>
          <w:p w14:paraId="03CD640E">
            <w:pPr>
              <w:jc w:val="center"/>
              <w:rPr>
                <w:rFonts w:hint="default" w:ascii="宋体" w:hAnsi="宋体" w:eastAsia="宋体" w:cs="Times New Roman"/>
                <w:kern w:val="2"/>
                <w:sz w:val="24"/>
                <w:szCs w:val="24"/>
                <w:lang w:val="en-US" w:eastAsia="zh-CN" w:bidi="ar-SA"/>
              </w:rPr>
            </w:pPr>
          </w:p>
        </w:tc>
        <w:tc>
          <w:tcPr>
            <w:tcW w:w="1258" w:type="pct"/>
            <w:noWrap w:val="0"/>
            <w:vAlign w:val="center"/>
          </w:tcPr>
          <w:p w14:paraId="04F80E26">
            <w:pPr>
              <w:jc w:val="center"/>
              <w:rPr>
                <w:rFonts w:hint="default" w:ascii="宋体" w:hAnsi="宋体" w:eastAsia="宋体" w:cs="Times New Roman"/>
                <w:sz w:val="24"/>
                <w:szCs w:val="22"/>
                <w:lang w:val="en-US" w:eastAsia="zh-CN"/>
              </w:rPr>
            </w:pPr>
          </w:p>
        </w:tc>
      </w:tr>
      <w:tr w14:paraId="3CF37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1237" w:type="pct"/>
            <w:noWrap w:val="0"/>
            <w:vAlign w:val="center"/>
          </w:tcPr>
          <w:p w14:paraId="7F8D143E">
            <w:pPr>
              <w:jc w:val="center"/>
              <w:rPr>
                <w:rFonts w:hint="default" w:ascii="Times New Roman" w:hAnsi="Times New Roman" w:eastAsia="宋体" w:cs="Times New Roman"/>
                <w:sz w:val="28"/>
                <w:lang w:val="en-US" w:eastAsia="zh-CN"/>
              </w:rPr>
            </w:pPr>
            <w:r>
              <w:rPr>
                <w:rFonts w:hint="eastAsia" w:cs="Times New Roman"/>
                <w:sz w:val="28"/>
                <w:lang w:val="en-US" w:eastAsia="zh-CN"/>
              </w:rPr>
              <w:t>4</w:t>
            </w:r>
          </w:p>
        </w:tc>
        <w:tc>
          <w:tcPr>
            <w:tcW w:w="2504" w:type="pct"/>
            <w:noWrap w:val="0"/>
            <w:vAlign w:val="center"/>
          </w:tcPr>
          <w:p w14:paraId="39D3E7FF">
            <w:pPr>
              <w:jc w:val="center"/>
              <w:rPr>
                <w:rFonts w:hint="default" w:ascii="宋体" w:hAnsi="宋体" w:eastAsia="宋体" w:cs="Times New Roman"/>
                <w:kern w:val="2"/>
                <w:sz w:val="24"/>
                <w:szCs w:val="24"/>
                <w:lang w:val="en-US" w:eastAsia="zh-CN" w:bidi="ar-SA"/>
              </w:rPr>
            </w:pPr>
          </w:p>
        </w:tc>
        <w:tc>
          <w:tcPr>
            <w:tcW w:w="1258" w:type="pct"/>
            <w:noWrap w:val="0"/>
            <w:vAlign w:val="center"/>
          </w:tcPr>
          <w:p w14:paraId="0301C5DD">
            <w:pPr>
              <w:jc w:val="center"/>
              <w:rPr>
                <w:rFonts w:hint="default" w:ascii="宋体" w:hAnsi="宋体" w:eastAsia="宋体" w:cs="Times New Roman"/>
                <w:sz w:val="24"/>
                <w:szCs w:val="22"/>
                <w:lang w:val="en-US" w:eastAsia="zh-CN"/>
              </w:rPr>
            </w:pPr>
          </w:p>
        </w:tc>
      </w:tr>
    </w:tbl>
    <w:p w14:paraId="64E474AA">
      <w:pPr>
        <w:rPr>
          <w:rFonts w:hint="eastAsia" w:ascii="Times New Roman" w:hAnsi="Times New Roman" w:eastAsia="宋体" w:cs="Times New Roman"/>
          <w:sz w:val="24"/>
        </w:rPr>
      </w:pPr>
    </w:p>
    <w:p w14:paraId="09701861">
      <w:pPr>
        <w:rPr>
          <w:rFonts w:hint="eastAsia" w:ascii="仿宋_GB2312" w:hAnsi="仿宋_GB2312" w:eastAsia="仿宋_GB2312" w:cs="仿宋_GB2312"/>
          <w:sz w:val="32"/>
          <w:szCs w:val="32"/>
        </w:rPr>
      </w:pPr>
    </w:p>
    <w:p w14:paraId="2965C540">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评委（签名）：                                                          </w:t>
      </w:r>
    </w:p>
    <w:p w14:paraId="6C5581B9">
      <w:pPr>
        <w:rPr>
          <w:rFonts w:hint="eastAsia" w:ascii="仿宋_GB2312" w:hAnsi="仿宋_GB2312" w:eastAsia="仿宋_GB2312" w:cs="仿宋_GB2312"/>
          <w:sz w:val="32"/>
          <w:szCs w:val="32"/>
        </w:rPr>
      </w:pPr>
    </w:p>
    <w:p w14:paraId="49F3B3FD">
      <w:pPr>
        <w:rPr>
          <w:rFonts w:hint="eastAsia" w:ascii="仿宋_GB2312" w:hAnsi="仿宋_GB2312" w:eastAsia="仿宋_GB2312" w:cs="仿宋_GB2312"/>
          <w:sz w:val="32"/>
          <w:szCs w:val="32"/>
        </w:rPr>
      </w:pPr>
    </w:p>
    <w:p w14:paraId="0F7BDC7F">
      <w:pPr>
        <w:rPr>
          <w:rFonts w:hint="eastAsia" w:ascii="仿宋_GB2312" w:hAnsi="仿宋_GB2312" w:eastAsia="仿宋_GB2312" w:cs="仿宋_GB2312"/>
          <w:sz w:val="32"/>
          <w:szCs w:val="32"/>
        </w:rPr>
      </w:pPr>
    </w:p>
    <w:p w14:paraId="12D6A08C">
      <w:pPr>
        <w:rPr>
          <w:rFonts w:hint="eastAsia" w:ascii="仿宋_GB2312" w:hAnsi="仿宋_GB2312" w:eastAsia="仿宋_GB2312" w:cs="仿宋_GB2312"/>
          <w:sz w:val="32"/>
          <w:szCs w:val="32"/>
          <w:lang w:val="en-US" w:eastAsia="zh-CN"/>
        </w:rPr>
      </w:pPr>
    </w:p>
    <w:p w14:paraId="23C44782">
      <w:pPr>
        <w:rPr>
          <w:rFonts w:hint="eastAsia" w:ascii="Times New Roman" w:hAnsi="Times New Roman" w:eastAsia="宋体" w:cs="Times New Roman"/>
          <w:sz w:val="24"/>
        </w:rPr>
      </w:pPr>
      <w:r>
        <w:rPr>
          <w:rFonts w:hint="eastAsia" w:ascii="仿宋_GB2312" w:hAnsi="仿宋_GB2312" w:eastAsia="仿宋_GB2312" w:cs="仿宋_GB2312"/>
          <w:sz w:val="32"/>
          <w:szCs w:val="32"/>
          <w:lang w:val="en-US" w:eastAsia="zh-CN"/>
        </w:rPr>
        <w:t>监委</w:t>
      </w:r>
      <w:r>
        <w:rPr>
          <w:rFonts w:hint="eastAsia" w:ascii="仿宋_GB2312" w:hAnsi="仿宋_GB2312" w:eastAsia="仿宋_GB2312" w:cs="仿宋_GB2312"/>
          <w:sz w:val="32"/>
          <w:szCs w:val="32"/>
        </w:rPr>
        <w:t>（签名）：</w:t>
      </w:r>
    </w:p>
    <w:p w14:paraId="02F31280">
      <w:pPr>
        <w:jc w:val="center"/>
        <w:rPr>
          <w:rFonts w:hint="eastAsia" w:ascii="Times New Roman" w:hAnsi="Times New Roman" w:eastAsia="宋体" w:cs="Times New Roman"/>
          <w:sz w:val="24"/>
        </w:rPr>
      </w:pPr>
    </w:p>
    <w:p w14:paraId="31F5811C">
      <w:pPr>
        <w:jc w:val="center"/>
        <w:rPr>
          <w:rFonts w:hint="eastAsia" w:ascii="Times New Roman" w:hAnsi="Times New Roman" w:eastAsia="宋体" w:cs="Times New Roman"/>
          <w:sz w:val="24"/>
        </w:rPr>
      </w:pPr>
      <w:r>
        <w:rPr>
          <w:rFonts w:hint="eastAsia" w:ascii="Times New Roman" w:hAnsi="Times New Roman" w:eastAsia="宋体" w:cs="Times New Roman"/>
          <w:sz w:val="24"/>
        </w:rPr>
        <w:t xml:space="preserve"> </w:t>
      </w:r>
    </w:p>
    <w:p w14:paraId="2919CCC2">
      <w:pPr>
        <w:rPr>
          <w:rFonts w:hint="eastAsia" w:ascii="Times New Roman" w:hAnsi="Times New Roman" w:eastAsia="宋体" w:cs="Times New Roman"/>
          <w:sz w:val="24"/>
        </w:rPr>
      </w:pPr>
      <w:r>
        <w:rPr>
          <w:rFonts w:hint="eastAsia" w:ascii="Times New Roman" w:hAnsi="Times New Roman" w:eastAsia="宋体" w:cs="Times New Roman"/>
          <w:sz w:val="24"/>
        </w:rPr>
        <w:t xml:space="preserve">                                             </w:t>
      </w:r>
    </w:p>
    <w:p w14:paraId="13B56D8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lang w:eastAsia="zh-CN"/>
        </w:rPr>
      </w:pPr>
    </w:p>
    <w:sectPr>
      <w:headerReference r:id="rId5" w:type="default"/>
      <w:footerReference r:id="rId6" w:type="default"/>
      <w:pgSz w:w="11900" w:h="16820" w:orient="landscape"/>
      <w:pgMar w:top="1440" w:right="1800" w:bottom="1440" w:left="1800" w:header="1140" w:footer="1140" w:gutter="0"/>
      <w:pgBorders>
        <w:top w:val="none" w:sz="0" w:space="0"/>
        <w:left w:val="none" w:sz="0" w:space="0"/>
        <w:bottom w:val="none" w:sz="0" w:space="0"/>
        <w:right w:val="none" w:sz="0" w:space="0"/>
      </w:pgBorders>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A19C5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3B023"/>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C150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6928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isplayHorizontalDrawingGridEvery w:val="1"/>
  <w:displayVerticalDrawingGridEvery w:val="1"/>
  <w:noPunctuationKerning w:val="1"/>
  <w:compat>
    <w:ulTrailSpace/>
    <w:doNotExpandShiftReturn/>
    <w:doNotWrapTextWithPunct/>
    <w:doNotUseEastAsianBreakRules/>
    <w:useFELayout/>
    <w:compatSetting w:name="compatibilityMode" w:uri="http://schemas.microsoft.com/office/word" w:val="15"/>
  </w:compat>
  <w:rsids>
    <w:rsidRoot w:val="00000000"/>
    <w:rsid w:val="0148378D"/>
    <w:rsid w:val="056A5EC4"/>
    <w:rsid w:val="06F218BD"/>
    <w:rsid w:val="077D529F"/>
    <w:rsid w:val="078825E4"/>
    <w:rsid w:val="0ABB3949"/>
    <w:rsid w:val="0F792E29"/>
    <w:rsid w:val="11A32C44"/>
    <w:rsid w:val="13112D6F"/>
    <w:rsid w:val="186C4488"/>
    <w:rsid w:val="1AA34970"/>
    <w:rsid w:val="1B480875"/>
    <w:rsid w:val="1BDC14AC"/>
    <w:rsid w:val="1D3D3C2C"/>
    <w:rsid w:val="215021AC"/>
    <w:rsid w:val="2639726E"/>
    <w:rsid w:val="2B732DA8"/>
    <w:rsid w:val="2B8A786D"/>
    <w:rsid w:val="35BF293E"/>
    <w:rsid w:val="38C81298"/>
    <w:rsid w:val="3FBA4788"/>
    <w:rsid w:val="3FE13153"/>
    <w:rsid w:val="4D225361"/>
    <w:rsid w:val="4DF558F9"/>
    <w:rsid w:val="50C23B30"/>
    <w:rsid w:val="52577B68"/>
    <w:rsid w:val="5511733E"/>
    <w:rsid w:val="5AAE7C59"/>
    <w:rsid w:val="5F1E1D1D"/>
    <w:rsid w:val="5F630463"/>
    <w:rsid w:val="6A984129"/>
    <w:rsid w:val="7164504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列出段落1"/>
    <w:qFormat/>
    <w:uiPriority w:val="99"/>
    <w:pPr>
      <w:widowControl w:val="0"/>
      <w:ind w:firstLine="420" w:firstLineChars="20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d92f8c59-84da-4ad3-9535-51e3ac7fdeaa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651E30FD</paraID>
      <start>0</start>
      <end>2</end>
      <status>unmodified</status>
      <modifiedWord/>
      <trackRevisions>false</trackRevisions>
    </reviewItem>
    <reviewItem>
      <errorID>7cba18ba-53c3-4455-9c7f-9f734609b3ca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52FD2664</paraID>
      <start>0</start>
      <end>2</end>
      <status>unmodified</status>
      <modifiedWord/>
      <trackRevisions>false</trackRevisions>
    </reviewItem>
    <reviewItem>
      <errorID>1d163224-7897-44d4-8079-8376c7c78c03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1FD6F05F</paraID>
      <start>0</start>
      <end>2</end>
      <status>unmodified</status>
      <modifiedWord/>
      <trackRevisions>false</trackRevisions>
    </reviewItem>
    <reviewItem>
      <errorID>8543cdb2-3dbd-4a9c-8d4b-58f18a7cb963</errorID>
      <errorWord>红章</errorWord>
      <group>L1_Word</group>
      <groupName>字词问题</groupName>
      <ability>L2_Typo</ability>
      <abilityName>字词错误</abilityName>
      <candidateList>
        <item>公章</item>
      </candidateList>
      <explain/>
      <paraID>1FD6F05F</paraID>
      <start>11</start>
      <end>13</end>
      <status>modified</status>
      <modifiedWord>公章</modifiedWord>
      <trackRevisions>false</trackRevisions>
    </reviewItem>
    <reviewItem>
      <errorID>8215dc4b-fa99-4558-aa9c-7fd0156b2172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533A0AF8</paraID>
      <start>0</start>
      <end>2</end>
      <status>unmodified</status>
      <modifiedWord/>
      <trackRevisions>false</trackRevisions>
    </reviewItem>
    <reviewItem>
      <errorID>f3aed08a-e61b-4e95-ba95-991d4137407a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4801A9D2</paraID>
      <start>0</start>
      <end>2</end>
      <status>unmodified</status>
      <modifiedWord/>
      <trackRevisions>false</trackRevisions>
    </reviewItem>
    <reviewItem>
      <errorID>217ecd19-426f-4fb1-acef-1ecb4bd33a05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C121C10</paraID>
      <start>0</start>
      <end>2</end>
      <status>unmodified</status>
      <modifiedWord/>
      <trackRevisions>false</trackRevisions>
    </reviewItem>
    <reviewItem>
      <errorID>ebef1e5d-3f32-43a4-880c-3d1788c58039</errorID>
      <errorWord>(</errorWord>
      <group>L1_Format</group>
      <groupName>格式问题</groupName>
      <ability>L2_HalfPunc</ability>
      <abilityName>全半角检查</abilityName>
      <candidateList>
        <item>（</item>
      </candidateList>
      <explain>文本全半角错误。</explain>
      <paraID>72B1F22F</paraID>
      <start>2</start>
      <end>3</end>
      <status>unmodified</status>
      <modifiedWord/>
      <trackRevisions>false</trackRevisions>
    </reviewItem>
    <reviewItem>
      <errorID>5b62a01c-30d7-4fe7-8625-6bcd2d0d77aa</errorID>
      <errorWord>)</errorWord>
      <group>L1_Format</group>
      <groupName>格式问题</groupName>
      <ability>L2_HalfPunc</ability>
      <abilityName>全半角检查</abilityName>
      <candidateList>
        <item>）</item>
      </candidateList>
      <explain>文本全半角错误。</explain>
      <paraID>72B1F22F</paraID>
      <start>4</start>
      <end>5</end>
      <status>unmodified</status>
      <modifiedWord/>
      <trackRevisions>false</trackRevisions>
    </reviewItem>
    <reviewItem>
      <errorID>9f8e34a8-87a6-4405-a6a7-d4e56033388d</errorID>
      <errorWord>(</errorWord>
      <group>L1_Format</group>
      <groupName>格式问题</groupName>
      <ability>L2_HalfPunc</ability>
      <abilityName>全半角检查</abilityName>
      <candidateList>
        <item>（</item>
      </candidateList>
      <explain>文本全半角错误。</explain>
      <paraID>  63A6D3</paraID>
      <start>2</start>
      <end>3</end>
      <status>unmodified</status>
      <modifiedWord/>
      <trackRevisions>false</trackRevisions>
    </reviewItem>
    <reviewItem>
      <errorID>cb03e22a-6520-4070-a634-0b0876efe3db</errorID>
      <errorWord>)</errorWord>
      <group>L1_Format</group>
      <groupName>格式问题</groupName>
      <ability>L2_HalfPunc</ability>
      <abilityName>全半角检查</abilityName>
      <candidateList>
        <item>）</item>
      </candidateList>
      <explain>文本全半角错误。</explain>
      <paraID>  63A6D3</paraID>
      <start>4</start>
      <end>5</end>
      <status>unmodified</status>
      <modifiedWord/>
      <trackRevisions>false</trackRevisions>
    </reviewItem>
    <reviewItem>
      <errorID>bf4f4e8e-426b-47ee-9f0e-a313cedb1d1f</errorID>
      <errorWord>(</errorWord>
      <group>L1_Format</group>
      <groupName>格式问题</groupName>
      <ability>L2_HalfPunc</ability>
      <abilityName>全半角检查</abilityName>
      <candidateList>
        <item>（</item>
      </candidateList>
      <explain>文本全半角错误。</explain>
      <paraID>1EE7740C</paraID>
      <start>2</start>
      <end>3</end>
      <status>unmodified</status>
      <modifiedWord/>
      <trackRevisions>false</trackRevisions>
    </reviewItem>
    <reviewItem>
      <errorID>212a53a4-b6cd-449a-9582-b6cd0d28806c</errorID>
      <errorWord>)</errorWord>
      <group>L1_Format</group>
      <groupName>格式问题</groupName>
      <ability>L2_HalfPunc</ability>
      <abilityName>全半角检查</abilityName>
      <candidateList>
        <item>）</item>
      </candidateList>
      <explain>文本全半角错误。</explain>
      <paraID>1EE7740C</paraID>
      <start>4</start>
      <end>5</end>
      <status>unmodified</status>
      <modifiedWord/>
      <trackRevisions>false</trackRevisions>
    </reviewItem>
    <reviewItem>
      <errorID>21c38726-0c6d-4e43-9081-fa5389588b5a</errorID>
      <errorWord>(</errorWord>
      <group>L1_Format</group>
      <groupName>格式问题</groupName>
      <ability>L2_HalfPunc</ability>
      <abilityName>全半角检查</abilityName>
      <candidateList>
        <item>（</item>
      </candidateList>
      <explain>文本全半角错误。</explain>
      <paraID>6BE97AF7</paraID>
      <start>2</start>
      <end>3</end>
      <status>unmodified</status>
      <modifiedWord/>
      <trackRevisions>false</trackRevisions>
    </reviewItem>
    <reviewItem>
      <errorID>f5204898-1a8f-4d68-8bb3-3c006e6b5c1b</errorID>
      <errorWord>)</errorWord>
      <group>L1_Format</group>
      <groupName>格式问题</groupName>
      <ability>L2_HalfPunc</ability>
      <abilityName>全半角检查</abilityName>
      <candidateList>
        <item>）</item>
      </candidateList>
      <explain>文本全半角错误。</explain>
      <paraID>6BE97AF7</paraID>
      <start>4</start>
      <end>5</end>
      <status>unmodified</status>
      <modifiedWord/>
      <trackRevisions>false</trackRevisions>
    </reviewItem>
    <reviewItem>
      <errorID>766b3577-b326-4317-a483-61f7e793c9e2</errorID>
      <errorWord>(</errorWord>
      <group>L1_Format</group>
      <groupName>格式问题</groupName>
      <ability>L2_HalfPunc</ability>
      <abilityName>全半角检查</abilityName>
      <candidateList>
        <item>（</item>
      </candidateList>
      <explain>文本全半角错误。</explain>
      <paraID>5F1D0A1F</paraID>
      <start>2</start>
      <end>3</end>
      <status>unmodified</status>
      <modifiedWord/>
      <trackRevisions>false</trackRevisions>
    </reviewItem>
    <reviewItem>
      <errorID>d9751078-c309-42c1-b97e-82487ac86dae</errorID>
      <errorWord>)</errorWord>
      <group>L1_Format</group>
      <groupName>格式问题</groupName>
      <ability>L2_HalfPunc</ability>
      <abilityName>全半角检查</abilityName>
      <candidateList>
        <item>）</item>
      </candidateList>
      <explain>文本全半角错误。</explain>
      <paraID>5F1D0A1F</paraID>
      <start>4</start>
      <end>5</end>
      <status>unmodified</status>
      <modifiedWord/>
      <trackRevisions>false</trackRevisions>
    </reviewItem>
    <reviewItem>
      <errorID>016d0728-5652-4fae-985c-560e56ae88c6</errorID>
      <errorWord>(</errorWord>
      <group>L1_Format</group>
      <groupName>格式问题</groupName>
      <ability>L2_HalfPunc</ability>
      <abilityName>全半角检查</abilityName>
      <candidateList>
        <item>（</item>
      </candidateList>
      <explain>文本全半角错误。</explain>
      <paraID>60E68754</paraID>
      <start>2</start>
      <end>3</end>
      <status>unmodified</status>
      <modifiedWord/>
      <trackRevisions>false</trackRevisions>
    </reviewItem>
    <reviewItem>
      <errorID>d3db8de9-cd46-4c34-bf11-8612cd0e3157</errorID>
      <errorWord>)</errorWord>
      <group>L1_Format</group>
      <groupName>格式问题</groupName>
      <ability>L2_HalfPunc</ability>
      <abilityName>全半角检查</abilityName>
      <candidateList>
        <item>）</item>
      </candidateList>
      <explain>文本全半角错误。</explain>
      <paraID>60E68754</paraID>
      <start>4</start>
      <end>5</end>
      <status>unmodified</status>
      <modifiedWord/>
      <trackRevisions>false</trackRevisions>
    </reviewItem>
    <reviewItem>
      <errorID>10d23627-5ad9-49e0-bbc5-96556bb2a3ea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34F3BDB4</paraID>
      <start>0</start>
      <end>2</end>
      <status>unmodified</status>
      <modifiedWord/>
      <trackRevisions>false</trackRevisions>
    </reviewItem>
    <reviewItem>
      <errorID>dae0cf96-786b-4108-b2d7-f1628823a801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662A188A</paraID>
      <start>0</start>
      <end>2</end>
      <status>unmodified</status>
      <modifiedWord/>
      <trackRevisions>false</trackRevisions>
    </reviewItem>
    <reviewItem>
      <errorID>5a27955e-7892-4ef6-bf09-4d215e5da96f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1A24A15</paraID>
      <start>0</start>
      <end>2</end>
      <status>unmodified</status>
      <modifiedWord/>
      <trackRevisions>false</trackRevisions>
    </reviewItem>
    <reviewItem>
      <errorID>1ae4a435-e1ed-450d-85bd-7275193d9f0a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7B9E10A</paraID>
      <start>0</start>
      <end>2</end>
      <status>unmodified</status>
      <modifiedWord/>
      <trackRevisions>false</trackRevisions>
    </reviewItem>
    <reviewItem>
      <errorID>dffe1371-e1b1-4141-b4d6-01d7c7450d69</errorID>
      <errorWord>服务为</errorWord>
      <group>L1_Grammar</group>
      <groupName>语法问题</groupName>
      <ability>L2_Order</ability>
      <abilityName>语序不当</abilityName>
      <candidateList>
        <item>服务</item>
      </candidateList>
      <explain>句子可能没有遵循时空、逻辑顺序，或者介词、关联词等位置不当。</explain>
      <paraID>2FFF48FD</paraID>
      <start>10</start>
      <end>12</end>
      <status>modified</status>
      <modifiedWord>服务</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3ec0d76-93cf-4420-9f40-2a2654cb8d0c}">
  <ds:schemaRefs/>
</ds:datastoreItem>
</file>

<file path=docProps/app.xml><?xml version="1.0" encoding="utf-8"?>
<Properties xmlns="http://schemas.openxmlformats.org/officeDocument/2006/extended-properties" xmlns:vt="http://schemas.openxmlformats.org/officeDocument/2006/docPropsVTypes">
  <Pages>14</Pages>
  <Words>149</Words>
  <Characters>153</Characters>
  <TotalTime>0</TotalTime>
  <ScaleCrop>false</ScaleCrop>
  <LinksUpToDate>false</LinksUpToDate>
  <CharactersWithSpaces>180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2026-04-09T03:45:00Z</dcterms:created>
  <dc:creator>Apache POI</dc:creator>
  <cp:lastModifiedBy>诗与远方</cp:lastModifiedBy>
  <cp:lastPrinted>2026-05-28T02:33:00Z</cp:lastPrinted>
  <dcterms:modified xsi:type="dcterms:W3CDTF">2026-09-23T07:50:25Z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eyJoZGlkIjoiYWY1YjQ3NmUxYTkwYmQ4ZTM5NTM4Njc3ZjU4YmUwMjIiLCJ1c2VySWQiOiI0MzM0NDIyMDMifQ==</vt:lpwstr>
  </property>
  <property fmtid="{D5CDD505-2E9C-101B-9397-08002B2CF9AE}" pid="3" name="KSOProductBuildVer">
    <vt:lpwstr>2052-12.1.0.28505</vt:lpwstr>
  </property>
  <property fmtid="{D5CDD505-2E9C-101B-9397-08002B2CF9AE}" pid="4" name="ICV">
    <vt:lpwstr>A31927FD623D452BAB1FFF538F76B1A7_13</vt:lpwstr>
  </property>
</Properties>
</file>