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1F1E62">
      <w:pPr>
        <w:spacing w:beforeLines="0" w:afterLines="0" w:line="600" w:lineRule="exact"/>
        <w:ind w:firstLine="0" w:firstLineChars="0"/>
        <w:rPr>
          <w:rFonts w:hint="eastAsia" w:ascii="黑体" w:hAnsi="黑体" w:eastAsia="黑体" w:cs="黑体"/>
          <w:bCs/>
          <w:color w:val="000000"/>
          <w:sz w:val="32"/>
          <w:szCs w:val="32"/>
        </w:rPr>
      </w:pPr>
      <w:r>
        <w:rPr>
          <w:rFonts w:hint="eastAsia" w:ascii="黑体" w:hAnsi="黑体" w:eastAsia="黑体" w:cs="黑体"/>
          <w:bCs/>
          <w:color w:val="000000"/>
          <w:sz w:val="32"/>
          <w:szCs w:val="32"/>
        </w:rPr>
        <w:t>附件2</w:t>
      </w:r>
    </w:p>
    <w:p w14:paraId="43BF8352">
      <w:pPr>
        <w:spacing w:beforeLines="0" w:afterLines="0" w:line="600" w:lineRule="exact"/>
        <w:ind w:firstLine="0" w:firstLineChars="0"/>
        <w:rPr>
          <w:rFonts w:hint="eastAsia" w:ascii="黑体" w:hAnsi="黑体" w:eastAsia="黑体" w:cs="黑体"/>
          <w:bCs/>
          <w:color w:val="000000"/>
          <w:sz w:val="32"/>
          <w:szCs w:val="32"/>
        </w:rPr>
      </w:pPr>
    </w:p>
    <w:p w14:paraId="1C5C7A87">
      <w:pPr>
        <w:spacing w:before="0" w:beforeLines="0" w:after="0" w:afterLines="0" w:line="600" w:lineRule="exact"/>
        <w:ind w:firstLine="0" w:firstLineChars="0"/>
        <w:jc w:val="center"/>
        <w:rPr>
          <w:rFonts w:hint="eastAsia" w:ascii="Times New Roman" w:hAnsi="Times New Roman" w:eastAsia="方正小标宋简体" w:cs="Times New Roman"/>
          <w:bCs/>
          <w:color w:val="000000"/>
          <w:sz w:val="44"/>
          <w:szCs w:val="44"/>
          <w:lang w:eastAsia="zh-CN"/>
        </w:rPr>
      </w:pPr>
      <w:r>
        <w:rPr>
          <w:rFonts w:ascii="Times New Roman" w:hAnsi="Times New Roman" w:eastAsia="方正小标宋简体" w:cs="Times New Roman"/>
          <w:bCs/>
          <w:color w:val="000000"/>
          <w:sz w:val="44"/>
          <w:szCs w:val="44"/>
        </w:rPr>
        <w:t>乳块消口服制剂说明书修订</w:t>
      </w:r>
      <w:r>
        <w:rPr>
          <w:rFonts w:hint="eastAsia" w:ascii="Times New Roman" w:hAnsi="Times New Roman" w:eastAsia="方正小标宋简体" w:cs="Times New Roman"/>
          <w:bCs/>
          <w:color w:val="000000"/>
          <w:sz w:val="44"/>
          <w:szCs w:val="44"/>
          <w:lang w:eastAsia="zh-CN"/>
        </w:rPr>
        <w:t>要求</w:t>
      </w:r>
    </w:p>
    <w:p w14:paraId="5E73F3D2">
      <w:pPr>
        <w:spacing w:before="0" w:beforeLines="0" w:after="0" w:afterLines="0" w:line="600" w:lineRule="exact"/>
        <w:ind w:firstLine="0" w:firstLineChars="0"/>
        <w:jc w:val="center"/>
        <w:rPr>
          <w:rFonts w:hint="eastAsia" w:ascii="Times New Roman" w:hAnsi="Times New Roman" w:eastAsia="方正小标宋简体" w:cs="Times New Roman"/>
          <w:bCs/>
          <w:color w:val="000000"/>
          <w:sz w:val="44"/>
          <w:szCs w:val="44"/>
          <w:lang w:eastAsia="zh-CN"/>
        </w:rPr>
      </w:pPr>
    </w:p>
    <w:p w14:paraId="61797390">
      <w:pPr>
        <w:spacing w:beforeLines="0" w:afterLines="0" w:line="600" w:lineRule="exact"/>
        <w:ind w:firstLine="640"/>
        <w:jc w:val="left"/>
        <w:rPr>
          <w:rFonts w:ascii="Times New Roman" w:hAnsi="Times New Roman" w:eastAsia="黑体" w:cs="Times New Roman"/>
          <w:bCs/>
          <w:sz w:val="32"/>
          <w:szCs w:val="32"/>
        </w:rPr>
      </w:pPr>
      <w:r>
        <w:rPr>
          <w:rFonts w:ascii="Times New Roman" w:hAnsi="Times New Roman" w:eastAsia="黑体" w:cs="Times New Roman"/>
          <w:bCs/>
          <w:sz w:val="32"/>
          <w:szCs w:val="32"/>
        </w:rPr>
        <w:t>一、</w:t>
      </w:r>
      <w:r>
        <w:rPr>
          <w:rFonts w:hint="default" w:ascii="Times New Roman" w:hAnsi="Times New Roman" w:eastAsia="黑体" w:cs="Times New Roman"/>
          <w:bCs/>
          <w:sz w:val="32"/>
          <w:szCs w:val="32"/>
        </w:rPr>
        <w:t>警示语应当包括</w:t>
      </w:r>
    </w:p>
    <w:p w14:paraId="586A7CDD">
      <w:pPr>
        <w:pStyle w:val="2"/>
        <w:spacing w:before="0" w:beforeLines="0" w:beforeAutospacing="0" w:after="0" w:afterLines="0" w:afterAutospacing="0" w:line="600" w:lineRule="exact"/>
        <w:ind w:firstLine="640" w:firstLineChars="200"/>
        <w:rPr>
          <w:rFonts w:hint="default" w:ascii="Times New Roman" w:hAnsi="Times New Roman" w:eastAsia="仿宋" w:cs="Times New Roman"/>
          <w:color w:val="000000"/>
          <w:sz w:val="32"/>
          <w:lang w:val="en-US"/>
        </w:rPr>
      </w:pPr>
      <w:r>
        <w:rPr>
          <w:rFonts w:hint="eastAsia" w:ascii="Times New Roman" w:hAnsi="Times New Roman" w:eastAsia="仿宋_GB2312" w:cs="Times New Roman"/>
          <w:color w:val="000000"/>
          <w:kern w:val="2"/>
          <w:sz w:val="32"/>
          <w:szCs w:val="32"/>
          <w:lang w:val="en-US" w:eastAsia="zh-CN" w:bidi="ar-SA"/>
        </w:rPr>
        <w:t>孕妇禁用。</w:t>
      </w:r>
    </w:p>
    <w:p w14:paraId="4EEE9F29">
      <w:pPr>
        <w:spacing w:beforeLines="0" w:afterLines="0" w:line="600" w:lineRule="exact"/>
        <w:ind w:firstLine="640"/>
        <w:jc w:val="left"/>
        <w:rPr>
          <w:rFonts w:ascii="Times New Roman" w:hAnsi="Times New Roman" w:eastAsia="黑体" w:cs="Times New Roman"/>
          <w:bCs/>
          <w:sz w:val="32"/>
          <w:szCs w:val="32"/>
        </w:rPr>
      </w:pPr>
      <w:r>
        <w:rPr>
          <w:rFonts w:hint="default" w:ascii="Times New Roman" w:hAnsi="Times New Roman" w:eastAsia="黑体" w:cs="Times New Roman"/>
          <w:bCs/>
          <w:sz w:val="32"/>
          <w:szCs w:val="32"/>
        </w:rPr>
        <w:t>二、</w:t>
      </w:r>
      <w:r>
        <w:rPr>
          <w:rFonts w:ascii="Times New Roman" w:hAnsi="Times New Roman" w:eastAsia="黑体" w:cs="Times New Roman"/>
          <w:bCs/>
          <w:sz w:val="32"/>
          <w:szCs w:val="32"/>
        </w:rPr>
        <w:t>【不良反应】项应当包括</w:t>
      </w:r>
    </w:p>
    <w:p w14:paraId="34451A0D">
      <w:pPr>
        <w:pStyle w:val="2"/>
        <w:spacing w:before="0" w:beforeLines="0" w:beforeAutospacing="0" w:after="0" w:afterLines="0" w:afterAutospacing="0" w:line="600" w:lineRule="exact"/>
        <w:ind w:firstLine="640" w:firstLineChars="200"/>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监测数据显示，乳块消口服制剂可见以下不良反应报告：</w:t>
      </w:r>
    </w:p>
    <w:p w14:paraId="597D08F4">
      <w:pPr>
        <w:pStyle w:val="2"/>
        <w:spacing w:before="0" w:beforeLines="0" w:beforeAutospacing="0" w:after="0" w:afterLines="0" w:afterAutospacing="0" w:line="600" w:lineRule="exact"/>
        <w:ind w:firstLine="640" w:firstLineChars="200"/>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1.胃肠系统疾病：恶心、腹痛、腹部不适、腹泻、呕吐、腹胀、口干等。</w:t>
      </w:r>
    </w:p>
    <w:p w14:paraId="01C3F142">
      <w:pPr>
        <w:pStyle w:val="2"/>
        <w:spacing w:before="0" w:beforeLines="0" w:beforeAutospacing="0" w:after="0" w:afterLines="0" w:afterAutospacing="0" w:line="600" w:lineRule="exact"/>
        <w:ind w:firstLine="640" w:firstLineChars="200"/>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2.皮肤及皮下组织类疾病：皮疹、瘙痒等。</w:t>
      </w:r>
    </w:p>
    <w:p w14:paraId="6030B013">
      <w:pPr>
        <w:pStyle w:val="2"/>
        <w:spacing w:before="0" w:beforeLines="0" w:beforeAutospacing="0" w:after="0" w:afterLines="0" w:afterAutospacing="0" w:line="600" w:lineRule="exact"/>
        <w:ind w:firstLine="640" w:firstLineChars="200"/>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3.各类神经系统疾病：头晕、头痛等。</w:t>
      </w:r>
    </w:p>
    <w:p w14:paraId="348F79C2">
      <w:pPr>
        <w:pStyle w:val="2"/>
        <w:spacing w:before="0" w:beforeLines="0" w:beforeAutospacing="0" w:after="0" w:afterLines="0" w:afterAutospacing="0" w:line="600" w:lineRule="exact"/>
        <w:ind w:firstLine="640" w:firstLineChars="200"/>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4.生殖系统及乳腺疾病：月经不调、月经出血过多、阴道出血、乳房疼痛等。</w:t>
      </w:r>
    </w:p>
    <w:p w14:paraId="133F15D1">
      <w:pPr>
        <w:pStyle w:val="2"/>
        <w:spacing w:before="0" w:beforeLines="0" w:beforeAutospacing="0" w:after="0" w:afterLines="0" w:afterAutospacing="0" w:line="600" w:lineRule="exact"/>
        <w:ind w:firstLine="640" w:firstLineChars="200"/>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5.肝胆系统疾病：肝损伤等。</w:t>
      </w:r>
    </w:p>
    <w:p w14:paraId="53934B96">
      <w:pPr>
        <w:pStyle w:val="2"/>
        <w:spacing w:before="0" w:beforeLines="0" w:beforeAutospacing="0" w:after="0" w:afterLines="0" w:afterAutospacing="0" w:line="600" w:lineRule="exact"/>
        <w:ind w:firstLine="640" w:firstLineChars="200"/>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6.其他：胸闷、乏力、失眠、高血压、过敏反应、食欲减退等。</w:t>
      </w:r>
    </w:p>
    <w:p w14:paraId="6BCBDE4C">
      <w:pPr>
        <w:spacing w:beforeLines="0" w:afterLines="0" w:line="600" w:lineRule="exact"/>
        <w:ind w:firstLine="640"/>
        <w:jc w:val="left"/>
        <w:rPr>
          <w:rFonts w:ascii="Times New Roman" w:hAnsi="Times New Roman" w:eastAsia="黑体" w:cs="Times New Roman"/>
          <w:bCs/>
          <w:sz w:val="32"/>
          <w:szCs w:val="32"/>
        </w:rPr>
      </w:pPr>
      <w:r>
        <w:rPr>
          <w:rFonts w:hint="default" w:ascii="Times New Roman" w:hAnsi="Times New Roman" w:eastAsia="黑体" w:cs="Times New Roman"/>
          <w:bCs/>
          <w:sz w:val="32"/>
          <w:szCs w:val="32"/>
        </w:rPr>
        <w:t>三</w:t>
      </w:r>
      <w:r>
        <w:rPr>
          <w:rFonts w:ascii="Times New Roman" w:hAnsi="Times New Roman" w:eastAsia="黑体" w:cs="Times New Roman"/>
          <w:bCs/>
          <w:sz w:val="32"/>
          <w:szCs w:val="32"/>
        </w:rPr>
        <w:t>、【禁忌】项应当包括</w:t>
      </w:r>
    </w:p>
    <w:p w14:paraId="7A4DE674">
      <w:pPr>
        <w:pStyle w:val="2"/>
        <w:spacing w:before="0" w:beforeLines="0" w:beforeAutospacing="0" w:after="0" w:afterLines="0" w:afterAutospacing="0" w:line="600" w:lineRule="exact"/>
        <w:ind w:firstLine="640" w:firstLineChars="200"/>
        <w:rPr>
          <w:rFonts w:hint="default" w:ascii="Times New Roman" w:hAnsi="Times New Roman" w:eastAsia="仿宋_GB2312" w:cs="Times New Roman"/>
          <w:color w:val="000000"/>
          <w:kern w:val="2"/>
          <w:sz w:val="32"/>
          <w:szCs w:val="32"/>
          <w:lang w:val="en-US" w:eastAsia="zh-CN" w:bidi="ar-SA"/>
        </w:rPr>
      </w:pPr>
      <w:r>
        <w:rPr>
          <w:rFonts w:hint="eastAsia" w:ascii="Times New Roman" w:hAnsi="Times New Roman" w:eastAsia="仿宋" w:cs="Times New Roman"/>
          <w:color w:val="000000"/>
          <w:sz w:val="32"/>
          <w:lang w:val="en-US" w:eastAsia="zh-CN"/>
        </w:rPr>
        <w:t>1.</w:t>
      </w:r>
      <w:r>
        <w:rPr>
          <w:rFonts w:hint="default" w:ascii="Times New Roman" w:hAnsi="Times New Roman" w:eastAsia="仿宋_GB2312" w:cs="Times New Roman"/>
          <w:color w:val="000000"/>
          <w:kern w:val="2"/>
          <w:sz w:val="32"/>
          <w:szCs w:val="32"/>
          <w:lang w:val="en-US" w:eastAsia="zh-CN" w:bidi="ar-SA"/>
        </w:rPr>
        <w:t>肝功能不全者禁用。</w:t>
      </w:r>
    </w:p>
    <w:p w14:paraId="5699E66C">
      <w:pPr>
        <w:pStyle w:val="2"/>
        <w:spacing w:before="0" w:beforeLines="0" w:beforeAutospacing="0" w:after="0" w:afterLines="0" w:afterAutospacing="0" w:line="600" w:lineRule="exact"/>
        <w:ind w:firstLine="640" w:firstLineChars="200"/>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2</w:t>
      </w:r>
      <w:r>
        <w:rPr>
          <w:rFonts w:hint="eastAsia" w:ascii="Times New Roman" w:hAnsi="Times New Roman" w:eastAsia="仿宋_GB2312" w:cs="Times New Roman"/>
          <w:color w:val="000000"/>
          <w:kern w:val="2"/>
          <w:sz w:val="32"/>
          <w:szCs w:val="32"/>
          <w:lang w:val="en-US" w:eastAsia="zh-CN" w:bidi="ar-SA"/>
        </w:rPr>
        <w:t>.</w:t>
      </w:r>
      <w:r>
        <w:rPr>
          <w:rFonts w:hint="default" w:ascii="Times New Roman" w:hAnsi="Times New Roman" w:eastAsia="仿宋_GB2312" w:cs="Times New Roman"/>
          <w:color w:val="000000"/>
          <w:kern w:val="2"/>
          <w:sz w:val="32"/>
          <w:szCs w:val="32"/>
          <w:lang w:val="en-US" w:eastAsia="zh-CN" w:bidi="ar-SA"/>
        </w:rPr>
        <w:t>有药物性肝损伤病史者禁用。</w:t>
      </w:r>
    </w:p>
    <w:p w14:paraId="29FF7370">
      <w:pPr>
        <w:pStyle w:val="2"/>
        <w:spacing w:before="0" w:beforeLines="0" w:beforeAutospacing="0" w:after="0" w:afterLines="0" w:afterAutospacing="0" w:line="600" w:lineRule="exact"/>
        <w:ind w:firstLine="640" w:firstLineChars="200"/>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3</w:t>
      </w:r>
      <w:r>
        <w:rPr>
          <w:rFonts w:hint="eastAsia" w:ascii="Times New Roman" w:hAnsi="Times New Roman" w:eastAsia="仿宋_GB2312" w:cs="Times New Roman"/>
          <w:color w:val="000000"/>
          <w:kern w:val="2"/>
          <w:sz w:val="32"/>
          <w:szCs w:val="32"/>
          <w:lang w:val="en-US" w:eastAsia="zh-CN" w:bidi="ar-SA"/>
        </w:rPr>
        <w:t>.</w:t>
      </w:r>
      <w:r>
        <w:rPr>
          <w:rFonts w:hint="default" w:ascii="Times New Roman" w:hAnsi="Times New Roman" w:eastAsia="仿宋_GB2312" w:cs="Times New Roman"/>
          <w:color w:val="000000"/>
          <w:kern w:val="2"/>
          <w:sz w:val="32"/>
          <w:szCs w:val="32"/>
          <w:lang w:val="en-US" w:eastAsia="zh-CN" w:bidi="ar-SA"/>
        </w:rPr>
        <w:t>孕妇禁用。</w:t>
      </w:r>
    </w:p>
    <w:p w14:paraId="7D271A11">
      <w:pPr>
        <w:pStyle w:val="2"/>
        <w:spacing w:before="0" w:beforeLines="0" w:beforeAutospacing="0" w:after="0" w:afterLines="0" w:afterAutospacing="0" w:line="600" w:lineRule="exact"/>
        <w:ind w:firstLine="640" w:firstLineChars="200"/>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4</w:t>
      </w:r>
      <w:r>
        <w:rPr>
          <w:rFonts w:hint="eastAsia" w:ascii="Times New Roman" w:hAnsi="Times New Roman" w:eastAsia="仿宋_GB2312" w:cs="Times New Roman"/>
          <w:color w:val="000000"/>
          <w:kern w:val="2"/>
          <w:sz w:val="32"/>
          <w:szCs w:val="32"/>
          <w:lang w:val="en-US" w:eastAsia="zh-CN" w:bidi="ar-SA"/>
        </w:rPr>
        <w:t>.</w:t>
      </w:r>
      <w:r>
        <w:rPr>
          <w:rFonts w:hint="default" w:ascii="Times New Roman" w:hAnsi="Times New Roman" w:eastAsia="仿宋_GB2312" w:cs="Times New Roman"/>
          <w:color w:val="000000"/>
          <w:kern w:val="2"/>
          <w:sz w:val="32"/>
          <w:szCs w:val="32"/>
          <w:lang w:val="en-US" w:eastAsia="zh-CN" w:bidi="ar-SA"/>
        </w:rPr>
        <w:t>对本品及所含成份过敏者禁用。</w:t>
      </w:r>
    </w:p>
    <w:p w14:paraId="2C6DEC31">
      <w:pPr>
        <w:spacing w:beforeLines="0" w:afterLines="0" w:line="600" w:lineRule="exact"/>
        <w:ind w:firstLine="640"/>
        <w:jc w:val="left"/>
        <w:rPr>
          <w:rFonts w:hint="default" w:ascii="Times New Roman" w:hAnsi="Times New Roman" w:eastAsia="黑体" w:cs="Times New Roman"/>
          <w:bCs/>
          <w:sz w:val="32"/>
          <w:szCs w:val="32"/>
          <w:lang w:val="en-US" w:eastAsia="zh-CN"/>
        </w:rPr>
      </w:pPr>
      <w:r>
        <w:rPr>
          <w:rFonts w:hint="default" w:ascii="Times New Roman" w:hAnsi="Times New Roman" w:eastAsia="黑体" w:cs="Times New Roman"/>
          <w:bCs/>
          <w:sz w:val="32"/>
          <w:szCs w:val="32"/>
          <w:lang w:val="en-US" w:eastAsia="zh-CN"/>
        </w:rPr>
        <w:t>四、【注意事项】</w:t>
      </w:r>
      <w:r>
        <w:rPr>
          <w:rFonts w:hint="eastAsia" w:ascii="Times New Roman" w:hAnsi="Times New Roman" w:eastAsia="黑体" w:cs="Times New Roman"/>
          <w:bCs/>
          <w:sz w:val="32"/>
          <w:szCs w:val="32"/>
          <w:lang w:val="en-US" w:eastAsia="zh-CN"/>
        </w:rPr>
        <w:t>项</w:t>
      </w:r>
      <w:r>
        <w:rPr>
          <w:rFonts w:hint="default" w:ascii="Times New Roman" w:hAnsi="Times New Roman" w:eastAsia="黑体" w:cs="Times New Roman"/>
          <w:bCs/>
          <w:sz w:val="32"/>
          <w:szCs w:val="32"/>
          <w:lang w:val="en-US" w:eastAsia="zh-CN"/>
        </w:rPr>
        <w:t>应当包括</w:t>
      </w:r>
    </w:p>
    <w:p w14:paraId="0A981D81">
      <w:pPr>
        <w:pStyle w:val="2"/>
        <w:spacing w:before="0" w:beforeLines="0" w:beforeAutospacing="0" w:after="0" w:afterLines="0" w:afterAutospacing="0" w:line="600" w:lineRule="exact"/>
        <w:ind w:firstLine="640" w:firstLineChars="200"/>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1.严格按照用法用量服用，本品不宜超剂量或长期连续服用。</w:t>
      </w:r>
    </w:p>
    <w:p w14:paraId="470E0E8D">
      <w:pPr>
        <w:pStyle w:val="2"/>
        <w:spacing w:before="0" w:beforeLines="0" w:beforeAutospacing="0" w:after="0" w:afterLines="0" w:afterAutospacing="0" w:line="600" w:lineRule="exact"/>
        <w:ind w:firstLine="640" w:firstLineChars="200"/>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2.有肝病史或肝生化指标异常者慎用。</w:t>
      </w:r>
    </w:p>
    <w:p w14:paraId="2E212212">
      <w:pPr>
        <w:pStyle w:val="2"/>
        <w:spacing w:before="0" w:beforeLines="0" w:beforeAutospacing="0" w:after="0" w:afterLines="0" w:afterAutospacing="0" w:line="600" w:lineRule="exact"/>
        <w:ind w:firstLine="640" w:firstLineChars="200"/>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3.服药期间应注意监测肝生化指标，如发现肝生化指标异常或出现全身乏力、食欲不振、厌油腻、恶心、上腹胀痛、尿黄、目黄、皮肤黄染等可能与肝损伤有关的临床表现时，或原有肝生化指标异常、肝损伤临床症状加重时，应立即停药并就医。</w:t>
      </w:r>
    </w:p>
    <w:p w14:paraId="0FD1EA38">
      <w:pPr>
        <w:pStyle w:val="2"/>
        <w:spacing w:before="0" w:beforeLines="0" w:beforeAutospacing="0" w:after="0" w:afterLines="0" w:afterAutospacing="0" w:line="600" w:lineRule="exact"/>
        <w:ind w:firstLine="640" w:firstLineChars="200"/>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4.应当注意避免与有肝毒性的药物联合使用。</w:t>
      </w:r>
    </w:p>
    <w:p w14:paraId="2C6086D5">
      <w:pPr>
        <w:pStyle w:val="2"/>
        <w:spacing w:before="0" w:beforeLines="0" w:beforeAutospacing="0" w:after="0" w:afterLines="0" w:afterAutospacing="0" w:line="600" w:lineRule="exact"/>
        <w:ind w:firstLine="640" w:firstLineChars="200"/>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5.月经期妇女及异常子宫出血者慎用；有出血倾向者慎用。</w:t>
      </w:r>
    </w:p>
    <w:p w14:paraId="170DD0ED">
      <w:pPr>
        <w:pStyle w:val="2"/>
        <w:spacing w:before="0" w:beforeLines="0" w:beforeAutospacing="0" w:after="0" w:afterLines="0" w:afterAutospacing="0" w:line="600" w:lineRule="exact"/>
        <w:ind w:firstLine="640" w:firstLineChars="200"/>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6.本品含蔗糖，糖尿病患者慎用（如辅料含蔗糖）。</w:t>
      </w:r>
    </w:p>
    <w:p w14:paraId="1D1ACBD1">
      <w:pPr>
        <w:pStyle w:val="2"/>
        <w:spacing w:before="0" w:beforeLines="0" w:beforeAutospacing="0" w:after="0" w:afterLines="0" w:afterAutospacing="0" w:line="600" w:lineRule="exact"/>
        <w:ind w:firstLine="640" w:firstLineChars="200"/>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7.过敏体质者慎用。</w:t>
      </w:r>
    </w:p>
    <w:p w14:paraId="76A03714">
      <w:pPr>
        <w:pStyle w:val="2"/>
        <w:spacing w:before="0" w:beforeLines="0" w:beforeAutospacing="0" w:after="0" w:afterLines="0" w:afterAutospacing="0" w:line="600" w:lineRule="exact"/>
        <w:ind w:firstLine="640" w:firstLineChars="200"/>
        <w:rPr>
          <w:rFonts w:hint="default" w:ascii="Times New Roman" w:hAnsi="Times New Roman" w:eastAsia="仿宋_GB2312" w:cs="Times New Roman"/>
          <w:color w:val="000000"/>
          <w:kern w:val="2"/>
          <w:sz w:val="32"/>
          <w:szCs w:val="32"/>
          <w:lang w:val="en-US" w:eastAsia="zh-CN" w:bidi="ar-SA"/>
        </w:rPr>
      </w:pPr>
    </w:p>
    <w:p w14:paraId="3C0D5AAF">
      <w:pPr>
        <w:pStyle w:val="2"/>
        <w:spacing w:before="0" w:beforeLines="0" w:beforeAutospacing="0" w:after="0" w:afterLines="0" w:afterAutospacing="0" w:line="600" w:lineRule="exact"/>
        <w:ind w:firstLine="640" w:firstLineChars="200"/>
        <w:rPr>
          <w:rFonts w:ascii="Times New Roman" w:hAnsi="Times New Roman" w:eastAsia="仿宋" w:cs="Times New Roman"/>
          <w:color w:val="000000"/>
          <w:sz w:val="32"/>
        </w:rPr>
      </w:pPr>
      <w:r>
        <w:rPr>
          <w:rFonts w:hint="default" w:ascii="Times New Roman" w:hAnsi="Times New Roman" w:eastAsia="仿宋_GB2312" w:cs="Times New Roman"/>
          <w:color w:val="000000"/>
          <w:kern w:val="2"/>
          <w:sz w:val="32"/>
          <w:szCs w:val="32"/>
          <w:lang w:val="en-US" w:eastAsia="zh-CN" w:bidi="ar-SA"/>
        </w:rPr>
        <w:t>（注：如原批准说明书的安全性内容较本修订要求内容更全面或者更严格的，应当保留原批准内容，说明书其他内容如与上述修订要求不一致的，应当一并进行修订。）</w:t>
      </w:r>
    </w:p>
    <w:p w14:paraId="3E6D0DF8">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8035DC9"/>
    <w:rsid w:val="38035D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qFormat/>
    <w:uiPriority w:val="99"/>
    <w:pPr>
      <w:spacing w:before="100" w:beforeAutospacing="1" w:after="100" w:afterAutospacing="1" w:line="360" w:lineRule="auto"/>
      <w:ind w:firstLine="0" w:firstLineChars="0"/>
      <w:jc w:val="left"/>
    </w:pPr>
    <w:rPr>
      <w:rFonts w:eastAsia="宋体"/>
      <w:kern w:val="0"/>
      <w:sz w:val="24"/>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2026-10-22T10:07:00Z</dcterms:created>
  <dc:creator>YU</dc:creator>
  <cp:lastModifiedBy>YU</cp:lastModifiedBy>
  <dcterms:modified xsi:type="dcterms:W3CDTF">2026-10-22T10:08:17Z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983E13B26CA3432A90457785A1CDBBF6_11</vt:lpwstr>
  </property>
  <property fmtid="{D5CDD505-2E9C-101B-9397-08002B2CF9AE}" pid="4" name="KSOTemplateDocerSaveRecord">
    <vt:lpwstr>eyJoZGlkIjoiNzUzMjcxYjI3MDRjMDIwZmVmYTgzNGM3MjE3OGJkMDMiLCJ1c2VySWQiOiIyNzgyMDExNzcifQ==</vt:lpwstr>
  </property>
</Properties>
</file>