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BC374">
      <w:pPr>
        <w:widowControl/>
        <w:spacing w:line="500" w:lineRule="exact"/>
        <w:rPr>
          <w:rFonts w:hint="default" w:ascii="宋体" w:hAnsi="宋体" w:eastAsia="黑体" w:cs="Times New Roman"/>
          <w:sz w:val="32"/>
          <w:szCs w:val="32"/>
        </w:rPr>
      </w:pPr>
      <w:bookmarkStart w:id="0" w:name="_GoBack"/>
      <w:bookmarkEnd w:id="0"/>
      <w:r>
        <w:rPr>
          <w:rFonts w:hint="default" w:ascii="宋体" w:hAnsi="宋体" w:eastAsia="黑体" w:cs="Times New Roman"/>
          <w:sz w:val="32"/>
          <w:szCs w:val="32"/>
        </w:rPr>
        <w:t>附件</w:t>
      </w:r>
    </w:p>
    <w:p w14:paraId="112575D0">
      <w:pPr>
        <w:widowControl/>
        <w:spacing w:line="500" w:lineRule="exact"/>
        <w:rPr>
          <w:rFonts w:hint="default" w:ascii="宋体" w:hAnsi="宋体" w:eastAsia="黑体" w:cs="Times New Roman"/>
          <w:sz w:val="44"/>
          <w:szCs w:val="44"/>
        </w:rPr>
      </w:pPr>
    </w:p>
    <w:p w14:paraId="0130F0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right="0"/>
        <w:jc w:val="center"/>
        <w:textAlignment w:val="auto"/>
        <w:rPr>
          <w:rFonts w:hint="default" w:ascii="宋体" w:hAnsi="宋体" w:eastAsia="方正小标宋简体" w:cs="Times New Roman"/>
          <w:sz w:val="44"/>
          <w:szCs w:val="44"/>
        </w:rPr>
      </w:pPr>
      <w:r>
        <w:rPr>
          <w:rFonts w:hint="default" w:ascii="宋体" w:hAnsi="宋体" w:eastAsia="方正小标宋简体" w:cs="Times New Roman"/>
          <w:sz w:val="44"/>
          <w:szCs w:val="44"/>
        </w:rPr>
        <w:t>湖南湘江新区药品审评核查中心（湖南省药品</w:t>
      </w:r>
    </w:p>
    <w:p w14:paraId="22DB0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-2147483648" w:line="600" w:lineRule="exact"/>
        <w:ind w:right="0"/>
        <w:jc w:val="center"/>
        <w:textAlignment w:val="auto"/>
        <w:rPr>
          <w:rFonts w:hint="default" w:ascii="宋体" w:hAnsi="宋体" w:eastAsia="方正小标宋简体" w:cs="Times New Roman"/>
          <w:sz w:val="44"/>
          <w:szCs w:val="44"/>
        </w:rPr>
      </w:pPr>
      <w:r>
        <w:rPr>
          <w:rFonts w:hint="default" w:ascii="宋体" w:hAnsi="宋体" w:eastAsia="方正小标宋简体" w:cs="Times New Roman"/>
          <w:sz w:val="44"/>
          <w:szCs w:val="44"/>
        </w:rPr>
        <w:t>监督管理局审评核查湘江新区分中心）</w:t>
      </w:r>
    </w:p>
    <w:p w14:paraId="375B51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-2147483648" w:line="600" w:lineRule="exact"/>
        <w:ind w:right="0"/>
        <w:jc w:val="center"/>
        <w:textAlignment w:val="auto"/>
        <w:rPr>
          <w:rFonts w:hint="default" w:ascii="宋体" w:hAnsi="宋体" w:eastAsia="方正小标宋简体" w:cs="Times New Roman"/>
          <w:sz w:val="44"/>
          <w:szCs w:val="44"/>
        </w:rPr>
      </w:pPr>
      <w:r>
        <w:rPr>
          <w:rFonts w:hint="default" w:ascii="宋体" w:hAnsi="宋体" w:eastAsia="方正小标宋简体" w:cs="Times New Roman"/>
          <w:sz w:val="44"/>
          <w:szCs w:val="44"/>
          <w:lang w:val="en-US" w:eastAsia="zh-CN"/>
        </w:rPr>
        <w:t>首次</w:t>
      </w:r>
      <w:r>
        <w:rPr>
          <w:rFonts w:hint="default" w:ascii="宋体" w:hAnsi="宋体" w:eastAsia="方正小标宋简体" w:cs="Times New Roman"/>
          <w:sz w:val="44"/>
          <w:szCs w:val="44"/>
        </w:rPr>
        <w:t>赋权事项目录</w:t>
      </w:r>
    </w:p>
    <w:p w14:paraId="241C0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-2147483648" w:line="600" w:lineRule="exact"/>
        <w:ind w:right="0"/>
        <w:jc w:val="center"/>
        <w:textAlignment w:val="auto"/>
        <w:rPr>
          <w:rFonts w:hint="default" w:ascii="宋体" w:hAnsi="宋体" w:eastAsia="方正小标宋简体" w:cs="Times New Roman"/>
          <w:sz w:val="44"/>
          <w:szCs w:val="44"/>
        </w:rPr>
      </w:pPr>
    </w:p>
    <w:tbl>
      <w:tblPr>
        <w:tblStyle w:val="4"/>
        <w:tblW w:w="100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7"/>
        <w:gridCol w:w="1234"/>
        <w:gridCol w:w="1247"/>
        <w:gridCol w:w="2515"/>
        <w:gridCol w:w="3896"/>
      </w:tblGrid>
      <w:tr w14:paraId="2EF7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tblHeader/>
          <w:jc w:val="center"/>
        </w:trPr>
        <w:tc>
          <w:tcPr>
            <w:tcW w:w="1137" w:type="dxa"/>
            <w:shd w:val="clear" w:color="auto" w:fill="auto"/>
            <w:vAlign w:val="center"/>
          </w:tcPr>
          <w:p w14:paraId="2129B77F">
            <w:pPr>
              <w:keepNext w:val="0"/>
              <w:keepLines w:val="0"/>
              <w:widowControl w:val="0"/>
              <w:suppressLineNumbers w:val="0"/>
              <w:spacing w:line="320" w:lineRule="exact"/>
              <w:jc w:val="center"/>
              <w:textAlignment w:val="center"/>
              <w:rPr>
                <w:rFonts w:ascii="宋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业务类别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EEBC252">
            <w:pPr>
              <w:keepNext w:val="0"/>
              <w:keepLines w:val="0"/>
              <w:widowControl w:val="0"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业务事项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1A143F24">
            <w:pPr>
              <w:keepNext w:val="0"/>
              <w:keepLines w:val="0"/>
              <w:widowControl w:val="0"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业务子项</w:t>
            </w:r>
          </w:p>
        </w:tc>
        <w:tc>
          <w:tcPr>
            <w:tcW w:w="2515" w:type="dxa"/>
            <w:shd w:val="clear" w:color="auto" w:fill="auto"/>
            <w:vAlign w:val="center"/>
          </w:tcPr>
          <w:p w14:paraId="3C4D3057">
            <w:pPr>
              <w:keepNext w:val="0"/>
              <w:keepLines w:val="0"/>
              <w:widowControl w:val="0"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业务子项细分</w:t>
            </w:r>
          </w:p>
        </w:tc>
        <w:tc>
          <w:tcPr>
            <w:tcW w:w="3896" w:type="dxa"/>
            <w:shd w:val="clear" w:color="auto" w:fill="auto"/>
            <w:vAlign w:val="center"/>
          </w:tcPr>
          <w:p w14:paraId="74C1BF23">
            <w:pPr>
              <w:keepNext w:val="0"/>
              <w:keepLines w:val="0"/>
              <w:widowControl w:val="0"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赋权内容</w:t>
            </w:r>
          </w:p>
        </w:tc>
      </w:tr>
      <w:tr w14:paraId="3E47D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37" w:type="dxa"/>
            <w:vMerge w:val="restart"/>
            <w:shd w:val="clear" w:color="auto" w:fill="auto"/>
            <w:vAlign w:val="center"/>
          </w:tcPr>
          <w:p w14:paraId="2979170C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  <w:lang w:eastAsia="zh-CN"/>
              </w:rPr>
              <w:t>一、审评事项</w:t>
            </w:r>
          </w:p>
        </w:tc>
        <w:tc>
          <w:tcPr>
            <w:tcW w:w="4996" w:type="dxa"/>
            <w:gridSpan w:val="3"/>
            <w:shd w:val="clear" w:color="auto" w:fill="auto"/>
            <w:vAlign w:val="center"/>
          </w:tcPr>
          <w:p w14:paraId="6EE55E0F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（一）国产第二类医疗器械首次注册的技术审评</w:t>
            </w:r>
          </w:p>
        </w:tc>
        <w:tc>
          <w:tcPr>
            <w:tcW w:w="3896" w:type="dxa"/>
            <w:vMerge w:val="restart"/>
            <w:shd w:val="clear" w:color="auto" w:fill="auto"/>
            <w:vAlign w:val="center"/>
          </w:tcPr>
          <w:p w14:paraId="0AF5BB17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省药审中心安排，分中心承担国产第二类医疗器械首次注册、变更注册技术审评主审工作，省药审中心进行复核和签发；在分中心人员资质达到相关要求的情况下可以承担主审和复核工作，省药审中心进行签发。</w:t>
            </w:r>
          </w:p>
          <w:p w14:paraId="44D44044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CC91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5EA96900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restart"/>
            <w:shd w:val="clear" w:color="auto" w:fill="auto"/>
            <w:vAlign w:val="center"/>
          </w:tcPr>
          <w:p w14:paraId="5A472F7D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（二）国产第二类医疗器械变更注册的技术审评</w:t>
            </w:r>
          </w:p>
        </w:tc>
        <w:tc>
          <w:tcPr>
            <w:tcW w:w="3762" w:type="dxa"/>
            <w:gridSpan w:val="2"/>
            <w:shd w:val="clear" w:color="auto" w:fill="auto"/>
            <w:vAlign w:val="center"/>
          </w:tcPr>
          <w:p w14:paraId="61E0248D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变更产品技术要求、说明书(IVD)</w:t>
            </w:r>
          </w:p>
        </w:tc>
        <w:tc>
          <w:tcPr>
            <w:tcW w:w="3896" w:type="dxa"/>
            <w:vMerge w:val="continue"/>
            <w:shd w:val="clear" w:color="auto" w:fill="auto"/>
            <w:vAlign w:val="center"/>
          </w:tcPr>
          <w:p w14:paraId="4ADF3124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1BE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2E5A8987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shd w:val="clear" w:color="auto" w:fill="auto"/>
            <w:vAlign w:val="center"/>
          </w:tcPr>
          <w:p w14:paraId="66F25B28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62" w:type="dxa"/>
            <w:gridSpan w:val="2"/>
            <w:shd w:val="clear" w:color="auto" w:fill="auto"/>
            <w:vAlign w:val="center"/>
          </w:tcPr>
          <w:p w14:paraId="330FD8E0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变更结构及组成</w:t>
            </w:r>
          </w:p>
        </w:tc>
        <w:tc>
          <w:tcPr>
            <w:tcW w:w="3896" w:type="dxa"/>
            <w:vMerge w:val="continue"/>
            <w:shd w:val="clear" w:color="auto" w:fill="auto"/>
            <w:vAlign w:val="center"/>
          </w:tcPr>
          <w:p w14:paraId="1D7B1F20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9EDD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3BCD4F58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shd w:val="clear" w:color="auto" w:fill="auto"/>
            <w:vAlign w:val="center"/>
          </w:tcPr>
          <w:p w14:paraId="79AC8A08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62" w:type="dxa"/>
            <w:gridSpan w:val="2"/>
            <w:shd w:val="clear" w:color="auto" w:fill="auto"/>
            <w:vAlign w:val="center"/>
          </w:tcPr>
          <w:p w14:paraId="3E685170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变更适用范围</w:t>
            </w:r>
          </w:p>
        </w:tc>
        <w:tc>
          <w:tcPr>
            <w:tcW w:w="3896" w:type="dxa"/>
            <w:vMerge w:val="continue"/>
            <w:shd w:val="clear" w:color="auto" w:fill="auto"/>
            <w:vAlign w:val="center"/>
          </w:tcPr>
          <w:p w14:paraId="21E40558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7B9E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7DA27149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shd w:val="clear" w:color="auto" w:fill="auto"/>
            <w:vAlign w:val="center"/>
          </w:tcPr>
          <w:p w14:paraId="7FB168E4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62" w:type="dxa"/>
            <w:gridSpan w:val="2"/>
            <w:shd w:val="clear" w:color="auto" w:fill="auto"/>
            <w:vAlign w:val="center"/>
          </w:tcPr>
          <w:p w14:paraId="67AE6CCC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lang w:val="en-US" w:eastAsia="zh-CN" w:bidi="ar"/>
              </w:rPr>
              <w:t>变更规格型号</w:t>
            </w:r>
          </w:p>
        </w:tc>
        <w:tc>
          <w:tcPr>
            <w:tcW w:w="3896" w:type="dxa"/>
            <w:vMerge w:val="continue"/>
            <w:shd w:val="clear" w:color="auto" w:fill="auto"/>
            <w:vAlign w:val="center"/>
          </w:tcPr>
          <w:p w14:paraId="1E89321F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9C9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5CDD2CC6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shd w:val="clear" w:color="auto" w:fill="auto"/>
            <w:vAlign w:val="center"/>
          </w:tcPr>
          <w:p w14:paraId="7D85EC44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62" w:type="dxa"/>
            <w:gridSpan w:val="2"/>
            <w:shd w:val="clear" w:color="auto" w:fill="auto"/>
            <w:vAlign w:val="center"/>
          </w:tcPr>
          <w:p w14:paraId="51A57AD4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lang w:val="en-US" w:eastAsia="zh-CN" w:bidi="ar"/>
              </w:rPr>
              <w:t>变更阳性判断值或参考区间（</w:t>
            </w:r>
            <w:r>
              <w:rPr>
                <w:rStyle w:val="8"/>
                <w:rFonts w:ascii="宋体" w:hAnsi="宋体" w:eastAsia="宋体"/>
                <w:lang w:val="en-US" w:eastAsia="zh-CN" w:bidi="ar"/>
              </w:rPr>
              <w:t>IVD</w:t>
            </w:r>
            <w:r>
              <w:rPr>
                <w:rStyle w:val="7"/>
                <w:rFonts w:ascii="宋体" w:hAnsi="宋体"/>
                <w:lang w:val="en-US" w:eastAsia="zh-CN" w:bidi="ar"/>
              </w:rPr>
              <w:t>）</w:t>
            </w:r>
          </w:p>
        </w:tc>
        <w:tc>
          <w:tcPr>
            <w:tcW w:w="3896" w:type="dxa"/>
            <w:vMerge w:val="continue"/>
            <w:shd w:val="clear" w:color="auto" w:fill="auto"/>
            <w:vAlign w:val="center"/>
          </w:tcPr>
          <w:p w14:paraId="6B826AFF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D899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6199D2BC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shd w:val="clear" w:color="auto" w:fill="auto"/>
            <w:vAlign w:val="center"/>
          </w:tcPr>
          <w:p w14:paraId="65DF1490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62" w:type="dxa"/>
            <w:gridSpan w:val="2"/>
            <w:shd w:val="clear" w:color="auto" w:fill="auto"/>
            <w:vAlign w:val="center"/>
          </w:tcPr>
          <w:p w14:paraId="1C078EA6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lang w:val="en-US" w:eastAsia="zh-CN" w:bidi="ar"/>
              </w:rPr>
              <w:t>变更原材料、生产工艺、反应体系（</w:t>
            </w:r>
            <w:r>
              <w:rPr>
                <w:rStyle w:val="8"/>
                <w:rFonts w:ascii="宋体" w:hAnsi="宋体" w:eastAsia="宋体"/>
                <w:lang w:val="en-US" w:eastAsia="zh-CN" w:bidi="ar"/>
              </w:rPr>
              <w:t>IVD</w:t>
            </w:r>
            <w:r>
              <w:rPr>
                <w:rStyle w:val="7"/>
                <w:rFonts w:ascii="宋体" w:hAnsi="宋体"/>
                <w:lang w:val="en-US" w:eastAsia="zh-CN" w:bidi="ar"/>
              </w:rPr>
              <w:t>）</w:t>
            </w:r>
          </w:p>
        </w:tc>
        <w:tc>
          <w:tcPr>
            <w:tcW w:w="3896" w:type="dxa"/>
            <w:vMerge w:val="continue"/>
            <w:shd w:val="clear" w:color="auto" w:fill="auto"/>
            <w:vAlign w:val="center"/>
          </w:tcPr>
          <w:p w14:paraId="6D90FBD5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ED9E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0D1CB3DD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shd w:val="clear" w:color="auto" w:fill="auto"/>
            <w:vAlign w:val="center"/>
          </w:tcPr>
          <w:p w14:paraId="79DEB6C0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62" w:type="dxa"/>
            <w:gridSpan w:val="2"/>
            <w:shd w:val="clear" w:color="auto" w:fill="auto"/>
            <w:vAlign w:val="center"/>
          </w:tcPr>
          <w:p w14:paraId="5797CFF0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7"/>
                <w:rFonts w:ascii="宋体" w:hAnsi="宋体"/>
                <w:lang w:val="en-US" w:eastAsia="zh-CN" w:bidi="ar"/>
              </w:rPr>
              <w:t>变更适用的样本类型（</w:t>
            </w:r>
            <w:r>
              <w:rPr>
                <w:rStyle w:val="8"/>
                <w:rFonts w:ascii="宋体" w:hAnsi="宋体" w:eastAsia="宋体"/>
                <w:lang w:val="en-US" w:eastAsia="zh-CN" w:bidi="ar"/>
              </w:rPr>
              <w:t>IVD</w:t>
            </w:r>
            <w:r>
              <w:rPr>
                <w:rStyle w:val="7"/>
                <w:rFonts w:ascii="宋体" w:hAnsi="宋体"/>
                <w:lang w:val="en-US" w:eastAsia="zh-CN" w:bidi="ar"/>
              </w:rPr>
              <w:t>）</w:t>
            </w:r>
          </w:p>
        </w:tc>
        <w:tc>
          <w:tcPr>
            <w:tcW w:w="3896" w:type="dxa"/>
            <w:vMerge w:val="continue"/>
            <w:shd w:val="clear" w:color="auto" w:fill="auto"/>
            <w:vAlign w:val="center"/>
          </w:tcPr>
          <w:p w14:paraId="29B2EF2D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4BDF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18BD8FAA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shd w:val="clear" w:color="auto" w:fill="auto"/>
            <w:vAlign w:val="center"/>
          </w:tcPr>
          <w:p w14:paraId="181137A8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62" w:type="dxa"/>
            <w:gridSpan w:val="2"/>
            <w:shd w:val="clear" w:color="auto" w:fill="auto"/>
            <w:vAlign w:val="center"/>
          </w:tcPr>
          <w:p w14:paraId="0D79BE3A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Style w:val="7"/>
                <w:rFonts w:ascii="宋体" w:hAnsi="宋体"/>
                <w:lang w:val="en-US" w:eastAsia="zh-CN" w:bidi="ar"/>
              </w:rPr>
              <w:t>变更适用人群（</w:t>
            </w:r>
            <w:r>
              <w:rPr>
                <w:rStyle w:val="8"/>
                <w:rFonts w:ascii="宋体" w:hAnsi="宋体" w:eastAsia="宋体"/>
                <w:lang w:val="en-US" w:eastAsia="zh-CN" w:bidi="ar"/>
              </w:rPr>
              <w:t>IVD</w:t>
            </w:r>
            <w:r>
              <w:rPr>
                <w:rStyle w:val="7"/>
                <w:rFonts w:ascii="宋体" w:hAnsi="宋体"/>
                <w:lang w:val="en-US" w:eastAsia="zh-CN" w:bidi="ar"/>
              </w:rPr>
              <w:t>）</w:t>
            </w:r>
          </w:p>
        </w:tc>
        <w:tc>
          <w:tcPr>
            <w:tcW w:w="3896" w:type="dxa"/>
            <w:vMerge w:val="continue"/>
            <w:shd w:val="clear" w:color="auto" w:fill="auto"/>
            <w:vAlign w:val="center"/>
          </w:tcPr>
          <w:p w14:paraId="54B31D75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2A8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7D55DC8C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shd w:val="clear" w:color="auto" w:fill="auto"/>
            <w:vAlign w:val="center"/>
          </w:tcPr>
          <w:p w14:paraId="36F51A0B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62" w:type="dxa"/>
            <w:gridSpan w:val="2"/>
            <w:shd w:val="clear" w:color="auto" w:fill="auto"/>
            <w:vAlign w:val="center"/>
          </w:tcPr>
          <w:p w14:paraId="23DAFCAC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lang w:val="en-US" w:eastAsia="zh-CN" w:bidi="ar"/>
              </w:rPr>
              <w:t>变更临床适应症（</w:t>
            </w:r>
            <w:r>
              <w:rPr>
                <w:rStyle w:val="8"/>
                <w:rFonts w:ascii="宋体" w:hAnsi="宋体" w:eastAsia="宋体"/>
                <w:lang w:val="en-US" w:eastAsia="zh-CN" w:bidi="ar"/>
              </w:rPr>
              <w:t>IVD</w:t>
            </w:r>
            <w:r>
              <w:rPr>
                <w:rStyle w:val="7"/>
                <w:rFonts w:ascii="宋体" w:hAnsi="宋体"/>
                <w:lang w:val="en-US" w:eastAsia="zh-CN" w:bidi="ar"/>
              </w:rPr>
              <w:t>）</w:t>
            </w:r>
          </w:p>
        </w:tc>
        <w:tc>
          <w:tcPr>
            <w:tcW w:w="3896" w:type="dxa"/>
            <w:vMerge w:val="continue"/>
            <w:shd w:val="clear" w:color="auto" w:fill="auto"/>
            <w:vAlign w:val="center"/>
          </w:tcPr>
          <w:p w14:paraId="39EF6076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66E7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62F8B670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shd w:val="clear" w:color="auto" w:fill="auto"/>
            <w:vAlign w:val="center"/>
          </w:tcPr>
          <w:p w14:paraId="13530ADD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62" w:type="dxa"/>
            <w:gridSpan w:val="2"/>
            <w:shd w:val="clear" w:color="auto" w:fill="auto"/>
            <w:vAlign w:val="center"/>
          </w:tcPr>
          <w:p w14:paraId="7E808078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lang w:val="en-US" w:eastAsia="zh-CN" w:bidi="ar"/>
              </w:rPr>
              <w:t>其他</w:t>
            </w:r>
          </w:p>
        </w:tc>
        <w:tc>
          <w:tcPr>
            <w:tcW w:w="3896" w:type="dxa"/>
            <w:vMerge w:val="continue"/>
            <w:shd w:val="clear" w:color="auto" w:fill="auto"/>
            <w:vAlign w:val="center"/>
          </w:tcPr>
          <w:p w14:paraId="5D2F15AC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294C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5E79F8AE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shd w:val="clear" w:color="auto" w:fill="auto"/>
            <w:vAlign w:val="center"/>
          </w:tcPr>
          <w:p w14:paraId="6EF2CCAE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62" w:type="dxa"/>
            <w:gridSpan w:val="2"/>
            <w:shd w:val="clear" w:color="auto" w:fill="auto"/>
            <w:vAlign w:val="center"/>
          </w:tcPr>
          <w:p w14:paraId="0A42D5EC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lang w:val="en-US" w:eastAsia="zh-CN" w:bidi="ar"/>
              </w:rPr>
              <w:t>变更产品名称</w:t>
            </w:r>
          </w:p>
        </w:tc>
        <w:tc>
          <w:tcPr>
            <w:tcW w:w="3896" w:type="dxa"/>
            <w:vMerge w:val="restart"/>
            <w:shd w:val="clear" w:color="auto" w:fill="auto"/>
            <w:vAlign w:val="center"/>
          </w:tcPr>
          <w:p w14:paraId="40D073EE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根据省药审中心安排，分中心承担国产第二类医疗器械</w:t>
            </w:r>
            <w:r>
              <w:rPr>
                <w:rFonts w:hint="default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" w:eastAsia="zh-CN" w:bidi="ar"/>
              </w:rPr>
              <w:t>变更</w:t>
            </w: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注册技术审评主审和复核工作，省药审中心进行签发。</w:t>
            </w:r>
          </w:p>
        </w:tc>
      </w:tr>
      <w:tr w14:paraId="2218D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2BE1BEE5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shd w:val="clear" w:color="auto" w:fill="auto"/>
            <w:vAlign w:val="center"/>
          </w:tcPr>
          <w:p w14:paraId="657E2D9D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62" w:type="dxa"/>
            <w:gridSpan w:val="2"/>
            <w:shd w:val="clear" w:color="auto" w:fill="auto"/>
            <w:vAlign w:val="center"/>
          </w:tcPr>
          <w:p w14:paraId="56D32B8B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lang w:val="en-US" w:eastAsia="zh-CN" w:bidi="ar"/>
              </w:rPr>
              <w:t>变更包装规格（</w:t>
            </w:r>
            <w:r>
              <w:rPr>
                <w:rStyle w:val="8"/>
                <w:rFonts w:ascii="宋体" w:hAnsi="宋体" w:eastAsia="宋体"/>
                <w:lang w:val="en-US" w:eastAsia="zh-CN" w:bidi="ar"/>
              </w:rPr>
              <w:t>IVD</w:t>
            </w:r>
            <w:r>
              <w:rPr>
                <w:rStyle w:val="7"/>
                <w:rFonts w:ascii="宋体" w:hAnsi="宋体"/>
                <w:lang w:val="en-US" w:eastAsia="zh-CN" w:bidi="ar"/>
              </w:rPr>
              <w:t>）</w:t>
            </w:r>
          </w:p>
        </w:tc>
        <w:tc>
          <w:tcPr>
            <w:tcW w:w="3896" w:type="dxa"/>
            <w:vMerge w:val="continue"/>
            <w:shd w:val="clear" w:color="auto" w:fill="auto"/>
            <w:vAlign w:val="center"/>
          </w:tcPr>
          <w:p w14:paraId="5AAD3CB8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A4FB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652AA965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shd w:val="clear" w:color="auto" w:fill="auto"/>
            <w:vAlign w:val="center"/>
          </w:tcPr>
          <w:p w14:paraId="04FC7692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62" w:type="dxa"/>
            <w:gridSpan w:val="2"/>
            <w:shd w:val="clear" w:color="auto" w:fill="auto"/>
            <w:vAlign w:val="center"/>
          </w:tcPr>
          <w:p w14:paraId="2B7C332E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lang w:val="en-US" w:eastAsia="zh-CN" w:bidi="ar"/>
              </w:rPr>
              <w:t>变更储存条件及有效期（</w:t>
            </w:r>
            <w:r>
              <w:rPr>
                <w:rStyle w:val="8"/>
                <w:rFonts w:ascii="宋体" w:hAnsi="宋体" w:eastAsia="宋体"/>
                <w:lang w:val="en-US" w:eastAsia="zh-CN" w:bidi="ar"/>
              </w:rPr>
              <w:t>IVD</w:t>
            </w:r>
            <w:r>
              <w:rPr>
                <w:rStyle w:val="7"/>
                <w:rFonts w:ascii="宋体" w:hAnsi="宋体"/>
                <w:lang w:val="en-US" w:eastAsia="zh-CN" w:bidi="ar"/>
              </w:rPr>
              <w:t>）</w:t>
            </w:r>
          </w:p>
        </w:tc>
        <w:tc>
          <w:tcPr>
            <w:tcW w:w="3896" w:type="dxa"/>
            <w:vMerge w:val="continue"/>
            <w:shd w:val="clear" w:color="auto" w:fill="auto"/>
            <w:vAlign w:val="center"/>
          </w:tcPr>
          <w:p w14:paraId="56F7E899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A4D4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586E8D37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shd w:val="clear" w:color="auto" w:fill="auto"/>
            <w:vAlign w:val="center"/>
          </w:tcPr>
          <w:p w14:paraId="34CBFD7B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762" w:type="dxa"/>
            <w:gridSpan w:val="2"/>
            <w:shd w:val="clear" w:color="auto" w:fill="auto"/>
            <w:vAlign w:val="center"/>
          </w:tcPr>
          <w:p w14:paraId="4247714B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宋体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Style w:val="7"/>
                <w:rFonts w:ascii="宋体" w:hAnsi="宋体"/>
                <w:lang w:val="en-US" w:eastAsia="zh-CN" w:bidi="ar"/>
              </w:rPr>
              <w:t>变更适用仪器（</w:t>
            </w:r>
            <w:r>
              <w:rPr>
                <w:rStyle w:val="8"/>
                <w:rFonts w:ascii="宋体" w:hAnsi="宋体" w:eastAsia="宋体"/>
                <w:lang w:val="en-US" w:eastAsia="zh-CN" w:bidi="ar"/>
              </w:rPr>
              <w:t>IVD</w:t>
            </w:r>
            <w:r>
              <w:rPr>
                <w:rStyle w:val="7"/>
                <w:rFonts w:ascii="宋体" w:hAnsi="宋体"/>
                <w:lang w:val="en-US" w:eastAsia="zh-CN" w:bidi="ar"/>
              </w:rPr>
              <w:t>）</w:t>
            </w:r>
          </w:p>
        </w:tc>
        <w:tc>
          <w:tcPr>
            <w:tcW w:w="3896" w:type="dxa"/>
            <w:vMerge w:val="continue"/>
            <w:shd w:val="clear" w:color="auto" w:fill="auto"/>
            <w:vAlign w:val="center"/>
          </w:tcPr>
          <w:p w14:paraId="6D08E24B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5C47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6DC5E4DC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6" w:type="dxa"/>
            <w:gridSpan w:val="3"/>
            <w:shd w:val="clear" w:color="auto" w:fill="auto"/>
            <w:vAlign w:val="center"/>
          </w:tcPr>
          <w:p w14:paraId="2C6A529C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（三）国产第二类医疗器械延续注册的技术审评</w:t>
            </w:r>
          </w:p>
        </w:tc>
        <w:tc>
          <w:tcPr>
            <w:tcW w:w="3896" w:type="dxa"/>
            <w:shd w:val="clear" w:color="auto" w:fill="auto"/>
            <w:vAlign w:val="center"/>
          </w:tcPr>
          <w:p w14:paraId="6D319E0F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spacing w:val="-6"/>
                <w:kern w:val="0"/>
                <w:sz w:val="22"/>
                <w:szCs w:val="22"/>
                <w:u w:val="none"/>
                <w:lang w:val="en-US" w:eastAsia="zh-CN" w:bidi="ar"/>
              </w:rPr>
              <w:t>根据省药审中心安排，分中心承担国产第二类医疗器械延续注册技术审评主审和复核工作，省药审中心进行签发。</w:t>
            </w:r>
          </w:p>
        </w:tc>
      </w:tr>
      <w:tr w14:paraId="021EC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78CD081C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6" w:type="dxa"/>
            <w:gridSpan w:val="3"/>
            <w:shd w:val="clear" w:color="auto" w:fill="auto"/>
            <w:vAlign w:val="center"/>
          </w:tcPr>
          <w:p w14:paraId="0DD3615A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（四）国产普通化妆品、牙膏企业账号审核</w:t>
            </w:r>
          </w:p>
        </w:tc>
        <w:tc>
          <w:tcPr>
            <w:tcW w:w="3896" w:type="dxa"/>
            <w:shd w:val="clear" w:color="auto" w:fill="auto"/>
            <w:vAlign w:val="center"/>
          </w:tcPr>
          <w:p w14:paraId="0C12A2E3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根据省药审中心安排，分中心承担国产普通化妆品、牙膏企业账号开通并审核。</w:t>
            </w:r>
          </w:p>
        </w:tc>
      </w:tr>
      <w:tr w14:paraId="1C929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27704C1A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6" w:type="dxa"/>
            <w:gridSpan w:val="3"/>
            <w:shd w:val="clear" w:color="auto" w:fill="auto"/>
            <w:vAlign w:val="center"/>
          </w:tcPr>
          <w:p w14:paraId="206B2B9F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（五）国产普通化妆品（牙膏）备案资料整理</w:t>
            </w:r>
          </w:p>
        </w:tc>
        <w:tc>
          <w:tcPr>
            <w:tcW w:w="3896" w:type="dxa"/>
            <w:shd w:val="clear" w:color="auto" w:fill="auto"/>
            <w:vAlign w:val="center"/>
          </w:tcPr>
          <w:p w14:paraId="620A033A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根据省药审中心安排，分中心承担国产普通化妆品（牙膏）备案资料整理。</w:t>
            </w:r>
          </w:p>
        </w:tc>
      </w:tr>
      <w:tr w14:paraId="1BFCF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7D20B75D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6" w:type="dxa"/>
            <w:gridSpan w:val="3"/>
            <w:shd w:val="clear" w:color="auto" w:fill="auto"/>
            <w:vAlign w:val="center"/>
          </w:tcPr>
          <w:p w14:paraId="08BCE016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（六）国产普通化妆品（牙膏）备案后技术核查</w:t>
            </w:r>
          </w:p>
        </w:tc>
        <w:tc>
          <w:tcPr>
            <w:tcW w:w="3896" w:type="dxa"/>
            <w:shd w:val="clear" w:color="auto" w:fill="auto"/>
            <w:vAlign w:val="center"/>
          </w:tcPr>
          <w:p w14:paraId="4C798146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根据省药审中心安排，分中心通过增项赋权考核后，承担国产普通化妆品（牙膏）备案后技术核查。</w:t>
            </w:r>
          </w:p>
        </w:tc>
      </w:tr>
      <w:tr w14:paraId="2742E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1137" w:type="dxa"/>
            <w:vMerge w:val="restart"/>
            <w:shd w:val="clear" w:color="auto" w:fill="auto"/>
            <w:vAlign w:val="center"/>
          </w:tcPr>
          <w:p w14:paraId="376CA053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二、核查    事项</w:t>
            </w:r>
          </w:p>
        </w:tc>
        <w:tc>
          <w:tcPr>
            <w:tcW w:w="4996" w:type="dxa"/>
            <w:gridSpan w:val="3"/>
            <w:shd w:val="clear" w:color="auto" w:fill="auto"/>
            <w:vAlign w:val="center"/>
          </w:tcPr>
          <w:p w14:paraId="208F48C2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cs="仿宋_GB2312" w:eastAsiaTheme="minorEastAsia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（七）国产第二类医疗器械首次注册质量管理体系核查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eastAsia="zh-CN" w:bidi="ar"/>
              </w:rPr>
              <w:t>的现场核查</w:t>
            </w:r>
          </w:p>
        </w:tc>
        <w:tc>
          <w:tcPr>
            <w:tcW w:w="3896" w:type="dxa"/>
            <w:vMerge w:val="restart"/>
            <w:shd w:val="clear" w:color="auto" w:fill="auto"/>
            <w:vAlign w:val="center"/>
          </w:tcPr>
          <w:p w14:paraId="159DAEC8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省核查中心安排，分中心承担国产第二类医疗器械相关业务类别首次、变更注册质量管理体系核查的现场核查工作，出具现场检查报告和样品真实性核查记录表等相关文书，督促企业完成整改，拟定现场核查结果通知初稿，交省核查中心审核。省核查中心出具核查结果通知，报省局医疗器械处。</w:t>
            </w:r>
          </w:p>
        </w:tc>
      </w:tr>
      <w:tr w14:paraId="4F2B7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2EC33CB8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6" w:type="dxa"/>
            <w:gridSpan w:val="3"/>
            <w:shd w:val="clear" w:color="auto" w:fill="auto"/>
            <w:vAlign w:val="center"/>
          </w:tcPr>
          <w:p w14:paraId="355ED765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（八）国产第二类医疗器械变更注册质量管理体系核查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eastAsia="zh-CN" w:bidi="ar"/>
              </w:rPr>
              <w:t>的现场核查</w:t>
            </w:r>
          </w:p>
        </w:tc>
        <w:tc>
          <w:tcPr>
            <w:tcW w:w="3896" w:type="dxa"/>
            <w:vMerge w:val="continue"/>
            <w:shd w:val="clear" w:color="auto" w:fill="auto"/>
            <w:vAlign w:val="center"/>
          </w:tcPr>
          <w:p w14:paraId="0B7D4B55">
            <w:pPr>
              <w:spacing w:line="320" w:lineRule="exact"/>
              <w:jc w:val="left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411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748BB6E0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6" w:type="dxa"/>
            <w:gridSpan w:val="3"/>
            <w:shd w:val="clear" w:color="auto" w:fill="auto"/>
            <w:vAlign w:val="center"/>
          </w:tcPr>
          <w:p w14:paraId="12346844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（九）国产第二、三类医疗器械生产首次许可的现场核查</w:t>
            </w:r>
          </w:p>
        </w:tc>
        <w:tc>
          <w:tcPr>
            <w:tcW w:w="3896" w:type="dxa"/>
            <w:vMerge w:val="restart"/>
            <w:shd w:val="clear" w:color="auto" w:fill="auto"/>
            <w:vAlign w:val="center"/>
          </w:tcPr>
          <w:p w14:paraId="618706AE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省核查中心安排，分中心承担国产第二、三类医疗器械生产首次、延续、变更许可的现场核查工作，出具现场检查报告等相关文书，督促企业完成整改，拟定综合评定意见初稿，交省核查中心审核。省核查中心出具综合评定意见，报省局医疗器械处。</w:t>
            </w:r>
          </w:p>
        </w:tc>
      </w:tr>
      <w:tr w14:paraId="4A1E2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1F56048E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6" w:type="dxa"/>
            <w:gridSpan w:val="3"/>
            <w:shd w:val="clear" w:color="auto" w:fill="auto"/>
            <w:vAlign w:val="center"/>
          </w:tcPr>
          <w:p w14:paraId="6E21ACD8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（十）国产第二、三类医疗器械生产延续许可的现场核查</w:t>
            </w:r>
          </w:p>
        </w:tc>
        <w:tc>
          <w:tcPr>
            <w:tcW w:w="3896" w:type="dxa"/>
            <w:vMerge w:val="continue"/>
            <w:shd w:val="clear" w:color="auto" w:fill="auto"/>
            <w:vAlign w:val="center"/>
          </w:tcPr>
          <w:p w14:paraId="1B5389F1">
            <w:pPr>
              <w:spacing w:line="320" w:lineRule="exact"/>
              <w:jc w:val="left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B22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11715E50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6" w:type="dxa"/>
            <w:gridSpan w:val="3"/>
            <w:shd w:val="clear" w:color="auto" w:fill="auto"/>
            <w:vAlign w:val="center"/>
          </w:tcPr>
          <w:p w14:paraId="06193DD3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（十一）第二、三类医疗器械生产许可事项变更许可的现场核查</w:t>
            </w:r>
          </w:p>
        </w:tc>
        <w:tc>
          <w:tcPr>
            <w:tcW w:w="3896" w:type="dxa"/>
            <w:vMerge w:val="continue"/>
            <w:shd w:val="clear" w:color="auto" w:fill="auto"/>
            <w:vAlign w:val="center"/>
          </w:tcPr>
          <w:p w14:paraId="54EAF94D">
            <w:pPr>
              <w:spacing w:line="320" w:lineRule="exact"/>
              <w:jc w:val="left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1BD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265BCF1F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96" w:type="dxa"/>
            <w:gridSpan w:val="3"/>
            <w:shd w:val="clear" w:color="auto" w:fill="auto"/>
            <w:vAlign w:val="center"/>
          </w:tcPr>
          <w:p w14:paraId="57033F7F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（十二）化妆品生产首次许可</w:t>
            </w:r>
          </w:p>
        </w:tc>
        <w:tc>
          <w:tcPr>
            <w:tcW w:w="3896" w:type="dxa"/>
            <w:vMerge w:val="restart"/>
            <w:shd w:val="clear" w:color="auto" w:fill="auto"/>
            <w:vAlign w:val="center"/>
          </w:tcPr>
          <w:p w14:paraId="0DC3002D">
            <w:pPr>
              <w:spacing w:line="320" w:lineRule="exact"/>
              <w:jc w:val="left"/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</w:rPr>
              <w:t>根据省核查中心安排，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eastAsia="zh-CN"/>
              </w:rPr>
              <w:t>分中心人员承</w:t>
            </w:r>
          </w:p>
          <w:p w14:paraId="12CC6EB4">
            <w:pPr>
              <w:spacing w:line="320" w:lineRule="exact"/>
              <w:jc w:val="left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eastAsia="zh-CN"/>
              </w:rPr>
              <w:t>担</w:t>
            </w: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化妆品生产首次许可、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变更许可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eastAsia="zh-CN" w:bidi="ar"/>
              </w:rPr>
              <w:t>的</w:t>
            </w:r>
            <w:r>
              <w:rPr>
                <w:rFonts w:hint="eastAsia" w:ascii="宋体" w:hAnsi="宋体" w:eastAsia="仿宋_GB2312" w:cs="仿宋_GB2312"/>
                <w:color w:val="000000"/>
                <w:sz w:val="22"/>
                <w:szCs w:val="22"/>
                <w:lang w:eastAsia="zh-CN"/>
              </w:rPr>
              <w:t>现场检查，由分中心出具现场检查报告、检查结论及建议，报省核查中心。</w:t>
            </w: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省核查中心出具综合评定意见，报省局化妆品处。</w:t>
            </w:r>
          </w:p>
        </w:tc>
      </w:tr>
      <w:tr w14:paraId="03705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07340D74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restart"/>
            <w:shd w:val="clear" w:color="auto" w:fill="auto"/>
            <w:vAlign w:val="center"/>
          </w:tcPr>
          <w:p w14:paraId="56CC171F">
            <w:pPr>
              <w:keepNext w:val="0"/>
              <w:keepLines w:val="0"/>
              <w:widowControl w:val="0"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（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eastAsia="zh-CN" w:bidi="ar"/>
              </w:rPr>
              <w:t>十三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）</w:t>
            </w:r>
            <w:r>
              <w:rPr>
                <w:rFonts w:hint="eastAsia" w:ascii="宋体" w:hAnsi="宋体" w:eastAsia="仿宋_GB2312" w:cs="仿宋_GB2312"/>
                <w:color w:val="000000"/>
                <w:spacing w:val="-11"/>
                <w:kern w:val="0"/>
                <w:sz w:val="22"/>
                <w:szCs w:val="22"/>
                <w:lang w:bidi="ar"/>
              </w:rPr>
              <w:t>化妆品生产变更许可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</w:tcPr>
          <w:p w14:paraId="2A9C45F1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化妆品生产变更许可现场核查</w:t>
            </w:r>
          </w:p>
        </w:tc>
        <w:tc>
          <w:tcPr>
            <w:tcW w:w="2515" w:type="dxa"/>
            <w:shd w:val="clear" w:color="auto" w:fill="auto"/>
            <w:vAlign w:val="center"/>
          </w:tcPr>
          <w:p w14:paraId="2A04710A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生产许可项目变更</w:t>
            </w:r>
          </w:p>
        </w:tc>
        <w:tc>
          <w:tcPr>
            <w:tcW w:w="3896" w:type="dxa"/>
            <w:vMerge w:val="continue"/>
            <w:shd w:val="clear" w:color="auto" w:fill="auto"/>
            <w:vAlign w:val="center"/>
          </w:tcPr>
          <w:p w14:paraId="26A5EC6B">
            <w:pPr>
              <w:spacing w:line="320" w:lineRule="exact"/>
              <w:jc w:val="left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CE4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3432E189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shd w:val="clear" w:color="auto" w:fill="auto"/>
            <w:vAlign w:val="center"/>
          </w:tcPr>
          <w:p w14:paraId="77DEF7B6">
            <w:pPr>
              <w:keepNext w:val="0"/>
              <w:keepLines w:val="0"/>
              <w:widowControl w:val="0"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47" w:type="dxa"/>
            <w:vMerge w:val="continue"/>
            <w:shd w:val="clear" w:color="auto" w:fill="auto"/>
            <w:vAlign w:val="center"/>
          </w:tcPr>
          <w:p w14:paraId="01E0628B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515" w:type="dxa"/>
            <w:shd w:val="clear" w:color="auto" w:fill="auto"/>
            <w:vAlign w:val="center"/>
          </w:tcPr>
          <w:p w14:paraId="7ADC9D08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生产场地原址新建、改建、扩建车间</w:t>
            </w:r>
          </w:p>
        </w:tc>
        <w:tc>
          <w:tcPr>
            <w:tcW w:w="3896" w:type="dxa"/>
            <w:vMerge w:val="continue"/>
            <w:shd w:val="clear" w:color="auto" w:fill="auto"/>
            <w:vAlign w:val="center"/>
          </w:tcPr>
          <w:p w14:paraId="69F3B622">
            <w:pPr>
              <w:spacing w:line="320" w:lineRule="exact"/>
              <w:jc w:val="left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5BB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34461E04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shd w:val="clear" w:color="auto" w:fill="auto"/>
            <w:vAlign w:val="center"/>
          </w:tcPr>
          <w:p w14:paraId="3F3D91F1">
            <w:pPr>
              <w:keepNext w:val="0"/>
              <w:keepLines w:val="0"/>
              <w:widowControl w:val="0"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47" w:type="dxa"/>
            <w:vMerge w:val="continue"/>
            <w:shd w:val="clear" w:color="auto" w:fill="auto"/>
            <w:vAlign w:val="center"/>
          </w:tcPr>
          <w:p w14:paraId="7F79562C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515" w:type="dxa"/>
            <w:shd w:val="clear" w:color="auto" w:fill="auto"/>
            <w:vAlign w:val="center"/>
          </w:tcPr>
          <w:p w14:paraId="7C208CC5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可能影响产品质量安全的生产设施设备变更</w:t>
            </w:r>
          </w:p>
        </w:tc>
        <w:tc>
          <w:tcPr>
            <w:tcW w:w="3896" w:type="dxa"/>
            <w:vMerge w:val="continue"/>
            <w:shd w:val="clear" w:color="auto" w:fill="auto"/>
            <w:vAlign w:val="center"/>
          </w:tcPr>
          <w:p w14:paraId="29BB65BA">
            <w:pPr>
              <w:spacing w:line="320" w:lineRule="exact"/>
              <w:jc w:val="left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85B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18E33D49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shd w:val="clear" w:color="auto" w:fill="auto"/>
            <w:vAlign w:val="center"/>
          </w:tcPr>
          <w:p w14:paraId="143CF912">
            <w:pPr>
              <w:keepNext w:val="0"/>
              <w:keepLines w:val="0"/>
              <w:widowControl w:val="0"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47" w:type="dxa"/>
            <w:vMerge w:val="continue"/>
            <w:shd w:val="clear" w:color="auto" w:fill="auto"/>
            <w:vAlign w:val="center"/>
          </w:tcPr>
          <w:p w14:paraId="64DFB9BE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515" w:type="dxa"/>
            <w:shd w:val="clear" w:color="auto" w:fill="auto"/>
            <w:vAlign w:val="center"/>
          </w:tcPr>
          <w:p w14:paraId="5C73221B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生产地址变更（包括增加、减少、迁移）</w:t>
            </w:r>
          </w:p>
        </w:tc>
        <w:tc>
          <w:tcPr>
            <w:tcW w:w="3896" w:type="dxa"/>
            <w:vMerge w:val="continue"/>
            <w:shd w:val="clear" w:color="auto" w:fill="auto"/>
            <w:vAlign w:val="center"/>
          </w:tcPr>
          <w:p w14:paraId="2DD01433">
            <w:pPr>
              <w:spacing w:line="320" w:lineRule="exact"/>
              <w:jc w:val="left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EDE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8" w:hRule="atLeast"/>
          <w:jc w:val="center"/>
        </w:trPr>
        <w:tc>
          <w:tcPr>
            <w:tcW w:w="1137" w:type="dxa"/>
            <w:vMerge w:val="restart"/>
            <w:shd w:val="clear" w:color="auto" w:fill="auto"/>
            <w:vAlign w:val="center"/>
          </w:tcPr>
          <w:p w14:paraId="5F1A8FB4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三、监督检查</w:t>
            </w:r>
          </w:p>
        </w:tc>
        <w:tc>
          <w:tcPr>
            <w:tcW w:w="1234" w:type="dxa"/>
            <w:vMerge w:val="restart"/>
            <w:shd w:val="clear" w:color="auto" w:fill="auto"/>
            <w:vAlign w:val="center"/>
          </w:tcPr>
          <w:p w14:paraId="4ABBCA10">
            <w:pPr>
              <w:keepNext w:val="0"/>
              <w:keepLines w:val="0"/>
              <w:widowControl w:val="0"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（十四）对国产第二、三类医疗器械注册人、生产企业的监督检查</w:t>
            </w:r>
          </w:p>
        </w:tc>
        <w:tc>
          <w:tcPr>
            <w:tcW w:w="3762" w:type="dxa"/>
            <w:gridSpan w:val="2"/>
            <w:shd w:val="clear" w:color="auto" w:fill="auto"/>
            <w:vAlign w:val="center"/>
          </w:tcPr>
          <w:p w14:paraId="0D42D84D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对国产第二、三类医疗器械注册人、生产企业的日常监督检查</w:t>
            </w:r>
          </w:p>
        </w:tc>
        <w:tc>
          <w:tcPr>
            <w:tcW w:w="3896" w:type="dxa"/>
            <w:shd w:val="clear" w:color="auto" w:fill="auto"/>
            <w:vAlign w:val="center"/>
          </w:tcPr>
          <w:p w14:paraId="689DFD6A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根据省核查中心安排，分中心开展区域内国产第二、三类医疗器械注册人、生产企业的日常监督检查任务。分中心出具现场检查报告，并提出现场检查建议结论，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督促企业进行缺陷整改，将现场检查结论及整改情况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eastAsia="zh-CN" w:bidi="ar"/>
              </w:rPr>
              <w:t>报</w:t>
            </w: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省核查中心，省核查中心出具检查结论。</w:t>
            </w:r>
          </w:p>
        </w:tc>
      </w:tr>
      <w:tr w14:paraId="4B9B5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5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76E91E6D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shd w:val="clear" w:color="auto" w:fill="auto"/>
            <w:vAlign w:val="center"/>
          </w:tcPr>
          <w:p w14:paraId="018295FB">
            <w:pPr>
              <w:keepNext w:val="0"/>
              <w:keepLines w:val="0"/>
              <w:widowControl w:val="0"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62" w:type="dxa"/>
            <w:gridSpan w:val="2"/>
            <w:shd w:val="clear" w:color="auto" w:fill="auto"/>
            <w:vAlign w:val="center"/>
          </w:tcPr>
          <w:p w14:paraId="14F055BE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有因检查（含投诉举报、信访、舆情、不良事件等）的现场检查</w:t>
            </w:r>
          </w:p>
        </w:tc>
        <w:tc>
          <w:tcPr>
            <w:tcW w:w="3896" w:type="dxa"/>
            <w:shd w:val="clear" w:color="auto" w:fill="auto"/>
            <w:vAlign w:val="center"/>
          </w:tcPr>
          <w:p w14:paraId="2AE6518D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省局医疗器械处组织下，分中心相关人员作为省级医疗器械检查员，承担辖区内投诉举报、信访、舆情、不良事件等有因检查的现场检查任务。分中心出具现场检查报告，并提出现场检查建议结论，交省局医疗器械处。省局器械处负责后续处理工作。</w:t>
            </w:r>
          </w:p>
        </w:tc>
      </w:tr>
      <w:tr w14:paraId="58D6E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7475024A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restart"/>
            <w:shd w:val="clear" w:color="auto" w:fill="auto"/>
            <w:vAlign w:val="center"/>
          </w:tcPr>
          <w:p w14:paraId="6E72586E">
            <w:pPr>
              <w:keepNext w:val="0"/>
              <w:keepLines w:val="0"/>
              <w:widowControl w:val="0"/>
              <w:suppressLineNumbers w:val="0"/>
              <w:spacing w:line="320" w:lineRule="exact"/>
              <w:jc w:val="center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（十五）化妆品境内责任人、注册人备案人、生产企业监督检查</w:t>
            </w:r>
          </w:p>
        </w:tc>
        <w:tc>
          <w:tcPr>
            <w:tcW w:w="3762" w:type="dxa"/>
            <w:gridSpan w:val="2"/>
            <w:shd w:val="clear" w:color="auto" w:fill="auto"/>
            <w:vAlign w:val="center"/>
          </w:tcPr>
          <w:p w14:paraId="39C25FB2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化妆品境内责任人、注册人备案人、生产企业常规监督检查</w:t>
            </w:r>
          </w:p>
        </w:tc>
        <w:tc>
          <w:tcPr>
            <w:tcW w:w="3896" w:type="dxa"/>
            <w:shd w:val="clear" w:color="auto" w:fill="auto"/>
            <w:vAlign w:val="center"/>
          </w:tcPr>
          <w:p w14:paraId="350B1A3F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根据省核查中心安排，分中心开展区域内化妆品境内责任人、注册人备案人、生产企业常规监督检查任务。分中心出具现场检查报告，并提出现场检查建议结论，</w:t>
            </w:r>
            <w:r>
              <w:rPr>
                <w:rFonts w:hint="eastAsia" w:ascii="宋体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督促企业进行缺陷整改，将现场检查结论及整改情况报省核查中心，</w:t>
            </w: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省核查中心出具检查结论。</w:t>
            </w:r>
          </w:p>
        </w:tc>
      </w:tr>
      <w:tr w14:paraId="222EC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  <w:jc w:val="center"/>
        </w:trPr>
        <w:tc>
          <w:tcPr>
            <w:tcW w:w="1137" w:type="dxa"/>
            <w:vMerge w:val="continue"/>
            <w:shd w:val="clear" w:color="auto" w:fill="auto"/>
            <w:vAlign w:val="center"/>
          </w:tcPr>
          <w:p w14:paraId="077A743A">
            <w:pPr>
              <w:spacing w:line="320" w:lineRule="exact"/>
              <w:jc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4" w:type="dxa"/>
            <w:vMerge w:val="continue"/>
            <w:shd w:val="clear" w:color="auto" w:fill="auto"/>
            <w:vAlign w:val="center"/>
          </w:tcPr>
          <w:p w14:paraId="477C0D35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762" w:type="dxa"/>
            <w:gridSpan w:val="2"/>
            <w:shd w:val="clear" w:color="auto" w:fill="auto"/>
            <w:vAlign w:val="center"/>
          </w:tcPr>
          <w:p w14:paraId="7B2D1864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有因检查（含投诉举报、信访、舆情、不良事件等）的现场检查及其他检查</w:t>
            </w:r>
          </w:p>
        </w:tc>
        <w:tc>
          <w:tcPr>
            <w:tcW w:w="3896" w:type="dxa"/>
            <w:shd w:val="clear" w:color="auto" w:fill="auto"/>
            <w:vAlign w:val="center"/>
          </w:tcPr>
          <w:p w14:paraId="57D9C158">
            <w:pPr>
              <w:keepNext w:val="0"/>
              <w:keepLines w:val="0"/>
              <w:widowControl w:val="0"/>
              <w:suppressLineNumbers w:val="0"/>
              <w:spacing w:line="320" w:lineRule="exact"/>
              <w:jc w:val="left"/>
              <w:textAlignment w:val="center"/>
              <w:rPr>
                <w:rFonts w:hint="eastAsia" w:ascii="宋体" w:hAnsi="宋体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省局化妆品监管处组织下，分中心相关人员作为省级化妆品检查员，承担辖区内投诉、举报、信访、舆情、不良事件等有因检查及其他检查的现场检查任务。分中心出具现场检查报告，并提出现场检查建议结论，交省局化妆品处，省局化妆品处负责后续处理工作。</w:t>
            </w:r>
          </w:p>
        </w:tc>
      </w:tr>
    </w:tbl>
    <w:p w14:paraId="03B50CFB"/>
    <w:sectPr>
      <w:footerReference r:id="rId3" w:type="default"/>
      <w:pgSz w:w="11906" w:h="16838"/>
      <w:pgMar w:top="1701" w:right="1417" w:bottom="1587" w:left="1417" w:header="851" w:footer="1191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E1CF1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4B398A">
                          <w:pPr>
                            <w:pStyle w:val="2"/>
                            <w:ind w:left="210" w:leftChars="100" w:right="210" w:rightChars="100"/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4B398A">
                    <w:pPr>
                      <w:pStyle w:val="2"/>
                      <w:ind w:left="210" w:leftChars="100" w:right="210" w:rightChars="100"/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787B9B"/>
    <w:rsid w:val="2F506391"/>
    <w:rsid w:val="67787B9B"/>
    <w:rsid w:val="95ED6F5B"/>
    <w:rsid w:val="FF6E10BA"/>
    <w:rsid w:val="FFED8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31"/>
    <w:basedOn w:val="5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7">
    <w:name w:val="font51"/>
    <w:basedOn w:val="5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8">
    <w:name w:val="font61"/>
    <w:basedOn w:val="5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1844</Words>
  <Characters>1864</Characters>
  <Lines>0</Lines>
  <Paragraphs>0</Paragraphs>
  <TotalTime>5</TotalTime>
  <ScaleCrop>false</ScaleCrop>
  <LinksUpToDate>false</LinksUpToDate>
  <CharactersWithSpaces>1868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2026-09-09T23:54:00Z</dcterms:created>
  <dc:creator>苏文雯</dc:creator>
  <cp:lastModifiedBy>5115</cp:lastModifiedBy>
  <dcterms:modified xsi:type="dcterms:W3CDTF">2026-09-16T02:14:03Z</dcterms:modified>
  <dc:title>附件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A5F0F287ECE0102D2703A96AB6725B4C_43</vt:lpwstr>
  </property>
  <property fmtid="{D5CDD505-2E9C-101B-9397-08002B2CF9AE}" pid="4" name="KSOTemplateDocerSaveRecord">
    <vt:lpwstr>eyJoZGlkIjoiODFlMjVmYTU5YTc1YWFhYzI3MGU0Y2IwM2Q2MDliNzkiLCJ1c2VySWQiOiIxNzEzMzMzNTA5In0=</vt:lpwstr>
  </property>
</Properties>
</file>