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湖南省药品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监督管理局首次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</w:rPr>
        <w:t>药学专业（非临床单位）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中初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</w:rPr>
        <w:t>级职称评审通过人员名单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</w:rPr>
      </w:pPr>
    </w:p>
    <w:tbl>
      <w:tblPr>
        <w:tblStyle w:val="6"/>
        <w:tblW w:w="9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80"/>
        <w:gridCol w:w="2520"/>
        <w:gridCol w:w="1545"/>
        <w:gridCol w:w="4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  <w:t>姓名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  <w:t>证书统一编号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  <w:t>专技资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  <w:t>格名称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亮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B39221000000000003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主管药师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湖南省药品检验检测研究院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君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B39221000000000001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主管中药师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湖南然润堂中药有限公司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炜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C39221000000000013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  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敏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C39221000000000007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  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珏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C39221000000000004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  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张熙然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C39221000000000005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  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英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C39221000000000006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  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C39221000000000009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  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湖南省药品审评与不良反应监测中心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李傲雪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C39221000000000008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  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湖南省药品审评与不良反应监测中心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姿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C39221000000000011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刘雅芳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C39221000000000012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钟勉意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C39221000000000010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肖功定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C39221000000000002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湖南春光九汇现代中药有限公司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洁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C39221000000000003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湖南春光九汇现代中药有限公司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友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C39221000000000001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4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湖南春光九汇现代中药有限公司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大标宋体">
    <w:altName w:val="方正书宋_GBK"/>
    <w:panose1 w:val="02010609010101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  <w:rPr>
        <w:rFonts w:hint="eastAsia" w:ascii="Calibri" w:hAnsi="Calibri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848FD"/>
    <w:rsid w:val="38AE2C46"/>
    <w:rsid w:val="3BE848FD"/>
    <w:rsid w:val="564700A4"/>
    <w:rsid w:val="65FFCD7C"/>
    <w:rsid w:val="DB1E29DB"/>
    <w:rsid w:val="EDF28C14"/>
    <w:rsid w:val="F9FBB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2022-01-29T18:24:00Z</dcterms:created>
  <dc:creator>user</dc:creator>
  <cp:lastModifiedBy>Administrator</cp:lastModifiedBy>
  <cp:lastPrinted>2022-10-13T08:50:00Z</cp:lastPrinted>
  <dcterms:modified xsi:type="dcterms:W3CDTF">2025-08-29T08:38:34Z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